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445321-2022-01781</w:t>
      </w:r>
    </w:p>
    <w:p>
      <w:pPr>
        <w:jc w:val="center"/>
      </w:pPr>
      <w:r>
        <w:rPr>
          <w:b/>
          <w:sz w:val="24"/>
        </w:rPr>
        <w:t>采购项目编号：</w:t>
      </w:r>
      <w:r>
        <w:rPr>
          <w:b/>
          <w:sz w:val="24"/>
        </w:rPr>
        <w:t>YFHN2022080</w:t>
      </w:r>
    </w:p>
    <w:p>
      <w:pPr>
        <w:jc w:val="center"/>
      </w:pPr>
      <w:r>
        <w:rPr>
          <w:b/>
          <w:sz w:val="24"/>
        </w:rPr>
        <w:t>项目名称：</w:t>
      </w:r>
      <w:r>
        <w:rPr>
          <w:b/>
          <w:sz w:val="24"/>
        </w:rPr>
        <w:t>天堂镇G359国道（天堂段）太阳能路灯及配套设施采购项目</w:t>
      </w:r>
    </w:p>
    <w:p>
      <w:pPr>
        <w:jc w:val="center"/>
      </w:pPr>
      <w:r>
        <w:rPr>
          <w:b/>
          <w:sz w:val="24"/>
        </w:rPr>
        <w:t>采购人：</w:t>
      </w:r>
      <w:r>
        <w:rPr>
          <w:b/>
          <w:sz w:val="24"/>
        </w:rPr>
        <w:t>新兴县天堂镇人民政府</w:t>
      </w:r>
    </w:p>
    <w:p>
      <w:pPr>
        <w:jc w:val="center"/>
      </w:pPr>
      <w:r>
        <w:rPr>
          <w:b/>
          <w:sz w:val="24"/>
        </w:rPr>
        <w:t>采购代理机构：</w:t>
      </w:r>
      <w:r>
        <w:rPr>
          <w:b/>
          <w:sz w:val="24"/>
        </w:rPr>
        <w:t>云浮市宏诺招标代理有限公司</w:t>
      </w:r>
    </w:p>
    <w:p>
      <w:pPr>
        <w:ind w:firstLine="480"/>
      </w:pPr>
    </w:p>
    <w:p>
      <w:r>
        <w:rPr/>
        <w:t xml:space="preserve"> </w:t>
      </w:r>
    </w:p>
    <w:p/>
    <w:p>
      <w:pPr>
        <w:jc w:val="center"/>
      </w:pPr>
      <w:r>
        <w:rPr>
          <w:b/>
          <w:sz w:val="36"/>
        </w:rPr>
        <w:t>第一章 磋商邀请</w:t>
      </w:r>
    </w:p>
    <w:p>
      <w:pPr>
        <w:ind w:firstLine="480"/>
      </w:pPr>
      <w:r>
        <w:rPr/>
        <w:t>云浮市宏诺招标代理有限公司</w:t>
      </w:r>
      <w:r>
        <w:rPr/>
        <w:t>受</w:t>
      </w:r>
      <w:r>
        <w:rPr/>
        <w:t>新兴县天堂镇人民政府</w:t>
      </w:r>
      <w:r>
        <w:rPr/>
        <w:t>的委托，采用</w:t>
      </w:r>
      <w:r>
        <w:rPr/>
        <w:t>竞争性磋商</w:t>
      </w:r>
      <w:r>
        <w:rPr/>
        <w:t>方式组织采购</w:t>
      </w:r>
      <w:r>
        <w:rPr/>
        <w:t>天堂镇G359国道（天堂段）太阳能路灯及配套设施采购项目</w:t>
      </w:r>
      <w:r>
        <w:rPr/>
        <w:t>。欢迎符合资格条件的供应商参加。</w:t>
      </w:r>
    </w:p>
    <w:p>
      <w:r>
        <w:rPr>
          <w:b/>
          <w:sz w:val="28"/>
        </w:rPr>
        <w:t>一.项目概述</w:t>
      </w:r>
    </w:p>
    <w:p>
      <w:r>
        <w:rPr>
          <w:b/>
          <w:sz w:val="24"/>
        </w:rPr>
        <w:t>1.名称与编号</w:t>
      </w:r>
    </w:p>
    <w:p>
      <w:pPr>
        <w:ind w:firstLine="480"/>
      </w:pPr>
      <w:r>
        <w:rPr/>
        <w:t>采购项目名称：</w:t>
      </w:r>
      <w:r>
        <w:rPr/>
        <w:t>天堂镇G359国道（天堂段）太阳能路灯及配套设施采购项目</w:t>
      </w:r>
    </w:p>
    <w:p>
      <w:pPr>
        <w:ind w:firstLine="480"/>
      </w:pPr>
      <w:r>
        <w:rPr/>
        <w:t>采购计划编号：</w:t>
      </w:r>
      <w:r>
        <w:rPr/>
        <w:t>445321-2022-01781</w:t>
      </w:r>
    </w:p>
    <w:p>
      <w:pPr>
        <w:ind w:firstLine="480"/>
      </w:pPr>
      <w:r>
        <w:rPr/>
        <w:t>采购项目编号：</w:t>
      </w:r>
      <w:r>
        <w:rPr/>
        <w:t>YFHN2022080</w:t>
      </w:r>
    </w:p>
    <w:p>
      <w:pPr>
        <w:ind w:firstLine="480"/>
      </w:pPr>
      <w:r>
        <w:rPr/>
        <w:t>采购方式：</w:t>
      </w:r>
      <w:r>
        <w:rPr/>
        <w:t>竞争性磋商</w:t>
      </w:r>
    </w:p>
    <w:p>
      <w:pPr>
        <w:ind w:firstLine="480"/>
      </w:pPr>
      <w:r>
        <w:rPr/>
        <w:t>预算金额：</w:t>
      </w:r>
      <w:r>
        <w:rPr/>
        <w:t>1,953,807.39</w:t>
      </w:r>
      <w:r>
        <w:rPr/>
        <w:t>元</w:t>
      </w:r>
    </w:p>
    <w:p>
      <w:r>
        <w:rPr>
          <w:b/>
          <w:sz w:val="24"/>
        </w:rPr>
        <w:t>2.项目内容及需求情况（采购项目技术规格、参数及要求）</w:t>
      </w:r>
    </w:p>
    <w:p>
      <w:pPr>
        <w:ind w:firstLine="480"/>
      </w:pPr>
    </w:p>
    <w:p/>
    <w:p>
      <w:r>
        <w:rPr/>
        <w:t>采购包1(天堂镇G359国道（天堂段）太阳能路灯及配套设施采购项目):</w:t>
      </w:r>
    </w:p>
    <w:p>
      <w:r>
        <w:rPr/>
        <w:t>采购包预算金额：1,953,807.39元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路灯</w:t>
            </w:r>
          </w:p>
        </w:tc>
        <w:tc>
          <w:tcPr>
            <w:tcW w:type="dxa" w:w="2136"/>
          </w:tcPr>
          <w:p>
            <w:r>
              <w:rPr/>
              <w:t>太阳能路灯及配套设施</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合同履行期限：自合同生效之日起90天内安装调试完毕并交付使用。</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2）有依法缴纳税收和社会保障资金的良好记录：提供投标截止日前12个月内任意1个月依法缴纳税收和社会保障资金的相关材料。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3）具有良好的商业信誉和健全的财务会计制度：供应商必须具有良好的商业信誉和健全的财务会计制度（提供2021年度财务状况报告或2022年任意一个月的财务报表或基本开户行出具的资信证明）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采购包1（天堂镇G359国道（天堂段）太阳能路灯及配套设施采购项目）：</w:t>
      </w:r>
      <w:r>
        <w:rPr/>
        <w:t>本采购包专门面向中小企业采购（提供中小企业声明函或监狱企业声明函或残疾人福利性单位声明函。根据《财政部 司法部关于政府采购支持监狱企业发展有关问题的通知》(财库〔2014〕68号)及《财政部民政部中国残疾人联合会关于促进残疾人就业政府采购政策的通知》（财库〔2017〕141号），监狱企业及残疾人福利性单位视同小型、微型企业）。</w:t>
      </w:r>
    </w:p>
    <w:p/>
    <w:p>
      <w:r>
        <w:rPr>
          <w:b/>
          <w:sz w:val="24"/>
        </w:rPr>
        <w:t>3.本项目特定的资格要求：</w:t>
      </w:r>
    </w:p>
    <w:p>
      <w:pPr>
        <w:ind w:firstLine="480"/>
      </w:pPr>
    </w:p>
    <w:p/>
    <w:p>
      <w:r>
        <w:rPr/>
        <w:t>采购包1（天堂镇G359国道（天堂段）太阳能路灯及配套设施采购项目）：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新兴县天堂镇人民政府</w:t>
      </w:r>
    </w:p>
    <w:p>
      <w:pPr>
        <w:ind w:firstLine="480"/>
      </w:pPr>
      <w:r>
        <w:rPr/>
        <w:t>地址：</w:t>
      </w:r>
      <w:r>
        <w:rPr/>
        <w:t>广东省云浮市新兴县天堂镇解放南路</w:t>
      </w:r>
    </w:p>
    <w:p>
      <w:pPr>
        <w:ind w:firstLine="480"/>
      </w:pPr>
      <w:r>
        <w:rPr/>
        <w:t>联系方式：</w:t>
      </w:r>
      <w:r>
        <w:rPr/>
        <w:t>0766-2239107</w:t>
      </w:r>
    </w:p>
    <w:p>
      <w:r>
        <w:rPr>
          <w:b/>
          <w:sz w:val="24"/>
        </w:rPr>
        <w:t>2.采购代理机构信息</w:t>
      </w:r>
    </w:p>
    <w:p>
      <w:pPr>
        <w:ind w:firstLine="480"/>
      </w:pPr>
      <w:r>
        <w:rPr/>
        <w:t>名称：</w:t>
      </w:r>
      <w:r>
        <w:rPr/>
        <w:t>云浮市宏诺招标代理有限公司</w:t>
      </w:r>
    </w:p>
    <w:p>
      <w:pPr>
        <w:ind w:firstLine="480"/>
      </w:pPr>
      <w:r>
        <w:rPr/>
        <w:t>地址：</w:t>
      </w:r>
      <w:r>
        <w:rPr/>
        <w:t>广东省云浮市新兴县新兴县新城镇城西路2号裕景楼3B号房（办公住所）</w:t>
      </w:r>
    </w:p>
    <w:p>
      <w:pPr>
        <w:ind w:firstLine="480"/>
      </w:pPr>
      <w:r>
        <w:rPr/>
        <w:t>联系方式：</w:t>
      </w:r>
      <w:r>
        <w:rPr/>
        <w:t>0766-2388819</w:t>
      </w:r>
    </w:p>
    <w:p>
      <w:r>
        <w:rPr>
          <w:b/>
          <w:sz w:val="24"/>
        </w:rPr>
        <w:t>3.项目联系方式</w:t>
      </w:r>
    </w:p>
    <w:p>
      <w:pPr>
        <w:ind w:firstLine="480"/>
      </w:pPr>
      <w:r>
        <w:rPr/>
        <w:t>项目联系人：</w:t>
      </w:r>
      <w:r>
        <w:rPr/>
        <w:t>邝小姐</w:t>
      </w:r>
    </w:p>
    <w:p>
      <w:pPr>
        <w:ind w:firstLine="480"/>
      </w:pPr>
      <w:r>
        <w:rPr/>
        <w:t>电话：</w:t>
      </w:r>
      <w:r>
        <w:rPr/>
        <w:t>0766-2388819</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云浮市宏诺招标代理有限公司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为了</w:t>
      </w:r>
      <w:r>
        <w:rPr>
          <w:sz w:val="21"/>
        </w:rPr>
        <w:t>完善</w:t>
      </w:r>
      <w:r>
        <w:rPr>
          <w:sz w:val="21"/>
        </w:rPr>
        <w:t>G359国道（天堂段）太阳能路灯的安装及相关配套</w:t>
      </w:r>
      <w:r>
        <w:rPr>
          <w:sz w:val="21"/>
        </w:rPr>
        <w:t>，</w:t>
      </w:r>
      <w:r>
        <w:rPr>
          <w:sz w:val="21"/>
        </w:rPr>
        <w:t>现对</w:t>
      </w:r>
      <w:r>
        <w:rPr>
          <w:sz w:val="21"/>
        </w:rPr>
        <w:t>天堂镇</w:t>
      </w:r>
      <w:r>
        <w:rPr>
          <w:sz w:val="21"/>
        </w:rPr>
        <w:t>G359国道（天堂段）太阳能路灯及配套设施</w:t>
      </w:r>
      <w:r>
        <w:rPr>
          <w:sz w:val="21"/>
        </w:rPr>
        <w:t>进行</w:t>
      </w:r>
      <w:r>
        <w:rPr>
          <w:sz w:val="21"/>
        </w:rPr>
        <w:t>采购</w:t>
      </w:r>
      <w:r>
        <w:rPr>
          <w:sz w:val="21"/>
        </w:rPr>
        <w:t>。</w:t>
      </w:r>
    </w:p>
    <w:p/>
    <w:p>
      <w:pPr>
        <w:ind w:firstLine="480"/>
      </w:pPr>
    </w:p>
    <w:p/>
    <w:p>
      <w:r>
        <w:rPr/>
        <w:t>合同包1（天堂镇G359国道（天堂段）太阳能路灯及配套设施采购项目）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自合同生效之日起90天内安装调试完毕并交付使用</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1期：支付比例40%,合同签订后7个工作日内支付合同总额的40%作预付款。</w:t>
            </w:r>
          </w:p>
          <w:p/>
          <w:p>
            <w:r>
              <w:rPr/>
              <w:t>2期：支付比例60%,余下合同总额的60%，待项目全部完成并验收合格后一次性无息支付完毕。</w:t>
            </w:r>
          </w:p>
        </w:tc>
      </w:tr>
      <w:tr>
        <w:tc>
          <w:tcPr>
            <w:tcW w:type="dxa" w:w="4153"/>
          </w:tcPr>
          <w:p>
            <w:r>
              <w:rPr/>
              <w:t>验收要求</w:t>
            </w:r>
          </w:p>
        </w:tc>
        <w:tc>
          <w:tcPr>
            <w:tcW w:type="dxa" w:w="4153"/>
          </w:tcPr>
          <w:p/>
          <w:p/>
          <w:p/>
          <w:p>
            <w:r>
              <w:rPr/>
              <w:t>1期：1、成交人应保证合同货物是必须是厂商原装、全新的正品，其质量、规格及技术特征符合国家有关标准和采购文件的要求，在中国境内可依常规安全合法使用。 2、如货物不能达到合同约定的质量标准和厂家的质量标准，采购人有权退货，并依法追究成交人的违约责任。 3、货物包装均应有良好的防湿、防锈、防潮、防雨、防腐及防碰撞的措施。凡由于包装不良造成的损失和由此产生的费用均由成交人承担。 4、货物为原厂商未启封全新包装，具出厂合格证，序列号、包装箱号与出厂批号一致，并可追索查阅，所有随设备的附件必须齐全。 5、成交人负责将材料运输到现场安装，运输安装过程中所产生运输、装卸、搬运费用由成交人负责。 6、货物在现场的保管由成交人负责，直至项目安装、验收完毕。 7、所有货物须按照采购方要求安装在指定的地点，并调试正常亮灯运行。 8、货物在安装调试验收合格前的安全工作由成交人负责，成交人派出的现场服务人员，成交人负责购买人身意外保险。 9、成交人应将关键主机设备的用户手册、保修手册、有关单证资料及配备件、随机工具等交付给采购人，使用操作及安全须知等重要资料应附有中文说明。 10、验收按投标文件的约定执行。货物质控要求符合用户需求的质量控制标准或有效试验标准要求。 11、采购人组成验收小组按有关规定、规范进行验收，必要时邀请相关的专业人员或机构参与验收。因货物质量问题发生争议时，由本地质量技术监督部门鉴定。货物符合质量技术标准的，鉴定费由采购人承担；否则鉴定费由成交人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售后服务及其他</w:t>
            </w:r>
          </w:p>
        </w:tc>
        <w:tc>
          <w:tcPr>
            <w:tcW w:type="dxa" w:w="2076"/>
          </w:tcPr>
          <w:p>
            <w:pPr>
              <w:jc w:val="left"/>
            </w:pPr>
            <w:r>
              <w:rPr/>
              <w:t>1、质保期自验收合格之日起计算，LED灯具质保期不少于5年，除电源线缆外其它设备质保期不少于1年。 2、在质保期内发生的质量问题，由成交人负责解决，包退包换（因采购人使用不当或其他人为因素造成的故障除外）。所有保修服务方式均为成交人或厂家上门保修，即由成交人或制造商派技术人员到使用现场维修。由此产生的一切费用均由成交人承担。 4、在任何时候，成交人均不能免除因货物本身的缺陷所应负的责任。</w:t>
            </w:r>
          </w:p>
        </w:tc>
      </w:tr>
      <w:tr>
        <w:tc>
          <w:tcPr>
            <w:tcW w:type="dxa" w:w="2076"/>
          </w:tcPr>
          <w:p>
            <w:pPr>
              <w:jc w:val="center"/>
            </w:pPr>
          </w:p>
        </w:tc>
        <w:tc>
          <w:tcPr>
            <w:tcW w:type="dxa" w:w="2076"/>
          </w:tcPr>
          <w:p>
            <w:pPr>
              <w:jc w:val="center"/>
            </w:pPr>
            <w:r>
              <w:rPr/>
              <w:t>2</w:t>
            </w:r>
          </w:p>
        </w:tc>
        <w:tc>
          <w:tcPr>
            <w:tcW w:type="dxa" w:w="2076"/>
          </w:tcPr>
          <w:p>
            <w:pPr>
              <w:jc w:val="left"/>
            </w:pPr>
            <w:r>
              <w:rPr/>
              <w:t>售后服务及其他</w:t>
            </w:r>
          </w:p>
        </w:tc>
        <w:tc>
          <w:tcPr>
            <w:tcW w:type="dxa" w:w="2076"/>
          </w:tcPr>
          <w:p>
            <w:pPr>
              <w:jc w:val="left"/>
            </w:pPr>
            <w:r>
              <w:rPr/>
              <w:t>3、在质保期外发生的质量问题，由成交人负责解决，只收取更换零部件的成本费，不得收取任何工时费及技术人员差旅费等其他费用。提供零配件、易损件、耗材等日常维护必须品价目表。要求保证长期良好的售后服务和零配件供应。 5、成交人上门为用户提供现场操作、维护培训等必要的技术培训，保证用户完全熟悉操作货物的全部功能。 6、维修响应速度：对用户的服务通知，接报后1小时内响应，12小时内到达现场，24 小时内处理完毕，如果设备故障在检修 24小时后仍无法排除，成交人应在24小时内提供不低于故障设备规格型号档次的备用设备供采购人使用，直至故障设备修复完成后替换使用。</w:t>
            </w:r>
          </w:p>
        </w:tc>
      </w:tr>
      <w:tr>
        <w:tc>
          <w:tcPr>
            <w:tcW w:type="dxa" w:w="2076"/>
          </w:tcPr>
          <w:p>
            <w:pPr>
              <w:jc w:val="center"/>
            </w:pPr>
            <w:r>
              <w:rPr/>
              <w:t>★</w:t>
            </w:r>
          </w:p>
        </w:tc>
        <w:tc>
          <w:tcPr>
            <w:tcW w:type="dxa" w:w="2076"/>
          </w:tcPr>
          <w:p>
            <w:pPr>
              <w:jc w:val="center"/>
            </w:pPr>
            <w:r>
              <w:rPr/>
              <w:t>3</w:t>
            </w:r>
          </w:p>
        </w:tc>
        <w:tc>
          <w:tcPr>
            <w:tcW w:type="dxa" w:w="2076"/>
          </w:tcPr>
          <w:p>
            <w:pPr>
              <w:jc w:val="left"/>
            </w:pPr>
            <w:r>
              <w:rPr/>
              <w:t>报价要求</w:t>
            </w:r>
          </w:p>
        </w:tc>
        <w:tc>
          <w:tcPr>
            <w:tcW w:type="dxa" w:w="2076"/>
          </w:tcPr>
          <w:p>
            <w:pPr>
              <w:jc w:val="left"/>
            </w:pPr>
            <w:r>
              <w:rPr/>
              <w:t>1、报价人的报价须以人民币元为单位（小数点后保留两位小数）；所报的价格不得高于采购预算。  2、总报价为全包价，报价包含本项目所有货物及其附件的设计、制造、采购、安装、检测、运输、搬运、保险、现场仓储、验收、技术服务（包括技术资料的提供）、培训、售后服务以及履行合同所需的费用、所有风险、责任等其他一切隐含及不可预见的费用。  3、对于影响货物正常使用的必要组成部分，无论在技术需求中指出与否，供应商都应在响应文件中明确列出，并且报价包含此部分的价格。</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路灯</w:t>
            </w:r>
          </w:p>
        </w:tc>
        <w:tc>
          <w:tcPr>
            <w:tcW w:type="dxa" w:w="933"/>
          </w:tcPr>
          <w:p>
            <w:pPr>
              <w:jc w:val="left"/>
            </w:pPr>
            <w:r>
              <w:rPr/>
              <w:t>太阳能路灯及配套设施</w:t>
            </w:r>
          </w:p>
        </w:tc>
        <w:tc>
          <w:tcPr>
            <w:tcW w:type="dxa" w:w="933"/>
          </w:tcPr>
          <w:p>
            <w:pPr>
              <w:jc w:val="left"/>
            </w:pPr>
            <w:r>
              <w:rPr/>
              <w:t>项</w:t>
            </w:r>
          </w:p>
        </w:tc>
        <w:tc>
          <w:tcPr>
            <w:tcW w:type="dxa" w:w="933"/>
          </w:tcPr>
          <w:p>
            <w:pPr>
              <w:jc w:val="right"/>
            </w:pPr>
            <w:r>
              <w:rPr/>
              <w:t>1.00</w:t>
            </w:r>
          </w:p>
        </w:tc>
        <w:tc>
          <w:tcPr>
            <w:tcW w:type="dxa" w:w="933"/>
          </w:tcPr>
          <w:p>
            <w:pPr>
              <w:jc w:val="right"/>
            </w:pPr>
            <w:r>
              <w:rPr/>
              <w:t>1,953,807.39</w:t>
            </w:r>
          </w:p>
        </w:tc>
        <w:tc>
          <w:tcPr>
            <w:tcW w:type="dxa" w:w="933"/>
          </w:tcPr>
          <w:p>
            <w:pPr>
              <w:jc w:val="right"/>
            </w:pPr>
            <w:r>
              <w:rPr/>
              <w:t>1,953,807.39</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太阳能路灯及配套设施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w:t>
            </w:r>
            <w:r>
              <w:rPr>
                <w:b/>
                <w:sz w:val="21"/>
              </w:rPr>
              <w:t>技术规格、参数及要求</w:t>
            </w:r>
          </w:p>
          <w:tbl>
            <w:tblPr>
              <w:tblInd w:type="dxa" w:w="120"/>
              <w:tblBorders>
                <w:top w:val="none" w:color="000000" w:sz="4"/>
                <w:left w:val="none" w:color="000000" w:sz="4"/>
                <w:bottom w:val="none" w:color="000000" w:sz="4"/>
                <w:right w:val="none" w:color="000000" w:sz="4"/>
                <w:insideH w:val="none"/>
                <w:insideV w:val="none"/>
              </w:tblBorders>
            </w:tblPr>
            <w:tblGrid>
              <w:gridCol w:w="469"/>
              <w:gridCol w:w="1164"/>
              <w:gridCol w:w="2311"/>
              <w:gridCol w:w="749"/>
              <w:gridCol w:w="893"/>
            </w:tblGrid>
            <w:tr>
              <w:tc>
                <w:tcPr>
                  <w:tcW w:type="dxa" w:w="469"/>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64"/>
                  <w:tcBorders>
                    <w:top w:val="single" w:color="000000" w:sz="4"/>
                    <w:left w:val="single" w:color="000000" w:sz="4"/>
                    <w:bottom w:val="single" w:color="000000" w:sz="4"/>
                    <w:right w:val="single" w:color="000000" w:sz="4"/>
                  </w:tcBorders>
                  <w:vAlign w:val="top"/>
                </w:tcPr>
                <w:p>
                  <w:pPr>
                    <w:jc w:val="center"/>
                  </w:pPr>
                  <w:r>
                    <w:rPr>
                      <w:b/>
                      <w:sz w:val="21"/>
                    </w:rPr>
                    <w:t>项目名称</w:t>
                  </w:r>
                </w:p>
              </w:tc>
              <w:tc>
                <w:tcPr>
                  <w:tcW w:type="dxa" w:w="2311"/>
                  <w:tcBorders>
                    <w:top w:val="single" w:color="000000" w:sz="4"/>
                    <w:left w:val="single" w:color="000000" w:sz="4"/>
                    <w:bottom w:val="single" w:color="000000" w:sz="4"/>
                    <w:right w:val="single" w:color="000000" w:sz="4"/>
                  </w:tcBorders>
                  <w:vAlign w:val="top"/>
                </w:tcPr>
                <w:p>
                  <w:pPr>
                    <w:jc w:val="center"/>
                  </w:pPr>
                  <w:r>
                    <w:rPr>
                      <w:b/>
                      <w:sz w:val="21"/>
                    </w:rPr>
                    <w:t>项目特征描述</w:t>
                  </w:r>
                </w:p>
              </w:tc>
              <w:tc>
                <w:tcPr>
                  <w:tcW w:type="dxa" w:w="749"/>
                  <w:tcBorders>
                    <w:top w:val="single" w:color="000000" w:sz="4"/>
                    <w:left w:val="single" w:color="000000" w:sz="4"/>
                    <w:bottom w:val="single" w:color="000000" w:sz="4"/>
                    <w:right w:val="single" w:color="000000" w:sz="4"/>
                  </w:tcBorders>
                  <w:vAlign w:val="top"/>
                </w:tcPr>
                <w:p>
                  <w:pPr>
                    <w:jc w:val="center"/>
                  </w:pPr>
                  <w:r>
                    <w:rPr>
                      <w:b/>
                      <w:sz w:val="21"/>
                    </w:rPr>
                    <w:t>计量单位</w:t>
                  </w:r>
                </w:p>
              </w:tc>
              <w:tc>
                <w:tcPr>
                  <w:tcW w:type="dxa" w:w="893"/>
                  <w:tcBorders>
                    <w:top w:val="single" w:color="000000" w:sz="4"/>
                    <w:left w:val="single" w:color="000000" w:sz="4"/>
                    <w:bottom w:val="single" w:color="000000" w:sz="4"/>
                    <w:right w:val="single" w:color="000000" w:sz="4"/>
                  </w:tcBorders>
                  <w:vAlign w:val="top"/>
                </w:tcPr>
                <w:p>
                  <w:pPr>
                    <w:jc w:val="center"/>
                  </w:pPr>
                  <w:r>
                    <w:rPr>
                      <w:b/>
                      <w:sz w:val="21"/>
                    </w:rPr>
                    <w:t>工程量</w:t>
                  </w: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64"/>
                  <w:tcBorders>
                    <w:top w:val="none" w:color="000000" w:sz="4"/>
                    <w:left w:val="single" w:color="000000" w:sz="4"/>
                    <w:bottom w:val="single" w:color="000000" w:sz="4"/>
                    <w:right w:val="single" w:color="000000" w:sz="4"/>
                  </w:tcBorders>
                  <w:vAlign w:val="top"/>
                </w:tcPr>
                <w:p>
                  <w:pPr>
                    <w:jc w:val="center"/>
                  </w:pPr>
                  <w:r>
                    <w:rPr>
                      <w:sz w:val="21"/>
                    </w:rPr>
                    <w:t>双臂路灯杆及灯具</w:t>
                  </w:r>
                </w:p>
              </w:tc>
              <w:tc>
                <w:tcPr>
                  <w:tcW w:type="dxa" w:w="2311"/>
                  <w:tcBorders>
                    <w:top w:val="none" w:color="000000" w:sz="4"/>
                    <w:left w:val="single" w:color="000000" w:sz="4"/>
                    <w:bottom w:val="single" w:color="000000" w:sz="4"/>
                    <w:right w:val="single" w:color="000000" w:sz="4"/>
                  </w:tcBorders>
                  <w:vAlign w:val="top"/>
                </w:tcPr>
                <w:p>
                  <w:pPr>
                    <w:jc w:val="left"/>
                  </w:pPr>
                  <w:r>
                    <w:rPr>
                      <w:sz w:val="21"/>
                    </w:rPr>
                    <w:t>1、名称:太阳能两头泛光路灯</w:t>
                  </w:r>
                </w:p>
                <w:p>
                  <w:pPr>
                    <w:jc w:val="left"/>
                  </w:pPr>
                  <w:r>
                    <w:rPr>
                      <w:sz w:val="21"/>
                    </w:rPr>
                    <w:t>3、</w:t>
                  </w:r>
                  <w:r>
                    <w:rPr>
                      <w:sz w:val="21"/>
                    </w:rPr>
                    <w:t>灯杆表面热镀锌处理后表面聚脂粉体涂装</w:t>
                  </w:r>
                  <w:r>
                    <w:rPr>
                      <w:sz w:val="21"/>
                    </w:rPr>
                    <w:t>(下蓝色+上白色)；杆高8米,两主灯悬挑A字臂,长1.2米,灯仰角均为10%D。</w:t>
                  </w:r>
                </w:p>
                <w:p>
                  <w:pPr>
                    <w:jc w:val="left"/>
                  </w:pPr>
                  <w:r>
                    <w:rPr>
                      <w:sz w:val="21"/>
                    </w:rPr>
                    <w:t>4、灯具:</w:t>
                  </w:r>
                </w:p>
                <w:p>
                  <w:pPr>
                    <w:jc w:val="left"/>
                  </w:pPr>
                  <w:r>
                    <w:rPr>
                      <w:sz w:val="21"/>
                    </w:rPr>
                    <w:t>（1）主灯具结构均为一体化</w:t>
                  </w:r>
                  <w:r>
                    <w:rPr>
                      <w:sz w:val="21"/>
                    </w:rPr>
                    <w:t>LED光源,压铸铝壳及钢化玻璃透光罩,灯罩防护等级IP65, 维护系数0.6。</w:t>
                  </w:r>
                </w:p>
                <w:p>
                  <w:pPr>
                    <w:jc w:val="both"/>
                  </w:pPr>
                  <w:r>
                    <w:rPr>
                      <w:sz w:val="21"/>
                    </w:rPr>
                    <w:t>（</w:t>
                  </w:r>
                  <w:r>
                    <w:rPr>
                      <w:sz w:val="21"/>
                    </w:rPr>
                    <w:t>4）光衰：≤3%；</w:t>
                  </w:r>
                </w:p>
                <w:p>
                  <w:pPr>
                    <w:jc w:val="left"/>
                  </w:pPr>
                  <w:r>
                    <w:rPr>
                      <w:sz w:val="21"/>
                    </w:rPr>
                    <w:t>7、光源:两主灯分别为LED截光型灯，</w:t>
                  </w:r>
                  <w:r>
                    <w:rPr>
                      <w:sz w:val="21"/>
                    </w:rPr>
                    <w:t>亮灯时间</w:t>
                  </w:r>
                  <w:r>
                    <w:rPr>
                      <w:sz w:val="21"/>
                    </w:rPr>
                    <w:t>12H，光控+时控。</w:t>
                  </w:r>
                  <w:r>
                    <w:rPr>
                      <w:sz w:val="21"/>
                    </w:rPr>
                    <w:t xml:space="preserve"> </w:t>
                  </w:r>
                </w:p>
                <w:p>
                  <w:pPr>
                    <w:jc w:val="left"/>
                  </w:pPr>
                  <w:r>
                    <w:rPr>
                      <w:sz w:val="21"/>
                    </w:rPr>
                    <w:t>8、路灯设施编号路灯杆号。</w:t>
                  </w:r>
                </w:p>
              </w:tc>
              <w:tc>
                <w:tcPr>
                  <w:tcW w:type="dxa" w:w="74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893"/>
                  <w:tcBorders>
                    <w:top w:val="none" w:color="000000" w:sz="4"/>
                    <w:left w:val="single" w:color="000000" w:sz="4"/>
                    <w:bottom w:val="single" w:color="000000" w:sz="4"/>
                    <w:right w:val="single" w:color="000000" w:sz="4"/>
                  </w:tcBorders>
                  <w:vAlign w:val="top"/>
                </w:tcPr>
                <w:p>
                  <w:pPr>
                    <w:jc w:val="center"/>
                  </w:pPr>
                  <w:r>
                    <w:rPr>
                      <w:sz w:val="21"/>
                    </w:rPr>
                    <w:t>331</w:t>
                  </w: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64"/>
                  <w:tcBorders>
                    <w:top w:val="none" w:color="000000" w:sz="4"/>
                    <w:left w:val="single" w:color="000000" w:sz="4"/>
                    <w:bottom w:val="single" w:color="000000" w:sz="4"/>
                    <w:right w:val="single" w:color="000000" w:sz="4"/>
                  </w:tcBorders>
                  <w:vAlign w:val="top"/>
                </w:tcPr>
                <w:p>
                  <w:pPr>
                    <w:jc w:val="center"/>
                  </w:pPr>
                  <w:r>
                    <w:rPr>
                      <w:sz w:val="21"/>
                    </w:rPr>
                    <w:t>双臂路灯杆及灯具</w:t>
                  </w:r>
                </w:p>
              </w:tc>
              <w:tc>
                <w:tcPr>
                  <w:tcW w:type="dxa" w:w="2311"/>
                  <w:tcBorders>
                    <w:top w:val="none" w:color="000000" w:sz="4"/>
                    <w:left w:val="single" w:color="000000" w:sz="4"/>
                    <w:bottom w:val="single" w:color="000000" w:sz="4"/>
                    <w:right w:val="single" w:color="000000" w:sz="4"/>
                  </w:tcBorders>
                  <w:vAlign w:val="top"/>
                </w:tcPr>
                <w:p>
                  <w:pPr>
                    <w:jc w:val="left"/>
                  </w:pPr>
                  <w:r>
                    <w:rPr>
                      <w:sz w:val="21"/>
                    </w:rPr>
                    <w:t>1、名称:太阳能两头泛光路灯</w:t>
                  </w:r>
                </w:p>
                <w:p>
                  <w:pPr>
                    <w:jc w:val="left"/>
                  </w:pPr>
                  <w:r>
                    <w:rPr>
                      <w:sz w:val="21"/>
                    </w:rPr>
                    <w:t>3、</w:t>
                  </w:r>
                  <w:r>
                    <w:rPr>
                      <w:sz w:val="21"/>
                    </w:rPr>
                    <w:t>灯杆表面热镀锌处理后表面聚脂粉体涂装</w:t>
                  </w:r>
                  <w:r>
                    <w:rPr>
                      <w:sz w:val="21"/>
                    </w:rPr>
                    <w:t>(下蓝色+上白色)；杆高8米,两主灯悬挑A字臂,长1.2米,灯仰角均为10%D。</w:t>
                  </w:r>
                </w:p>
                <w:p>
                  <w:pPr>
                    <w:jc w:val="left"/>
                  </w:pPr>
                  <w:r>
                    <w:rPr>
                      <w:sz w:val="21"/>
                    </w:rPr>
                    <w:t>4、灯具:</w:t>
                  </w:r>
                </w:p>
                <w:p>
                  <w:pPr>
                    <w:jc w:val="left"/>
                  </w:pPr>
                  <w:r>
                    <w:rPr>
                      <w:sz w:val="21"/>
                    </w:rPr>
                    <w:t>（</w:t>
                  </w:r>
                  <w:r>
                    <w:rPr>
                      <w:sz w:val="21"/>
                    </w:rPr>
                    <w:t>1）主灯具结构均为一体化LED光源,压铸铝壳及钢化玻璃透光罩,灯罩防护等级IP65,维护系数0.6。</w:t>
                  </w:r>
                </w:p>
                <w:p>
                  <w:pPr>
                    <w:jc w:val="left"/>
                  </w:pPr>
                  <w:r>
                    <w:rPr>
                      <w:sz w:val="21"/>
                    </w:rPr>
                    <w:t>（</w:t>
                  </w:r>
                  <w:r>
                    <w:rPr>
                      <w:sz w:val="21"/>
                    </w:rPr>
                    <w:t>4）光衰：≤3%；</w:t>
                  </w:r>
                </w:p>
                <w:p>
                  <w:pPr>
                    <w:jc w:val="left"/>
                  </w:pPr>
                  <w:r>
                    <w:rPr>
                      <w:sz w:val="21"/>
                    </w:rPr>
                    <w:t>7、光源:两主灯分别为LED截光型灯，</w:t>
                  </w:r>
                  <w:r>
                    <w:rPr>
                      <w:sz w:val="21"/>
                    </w:rPr>
                    <w:t>亮灯时间</w:t>
                  </w:r>
                  <w:r>
                    <w:rPr>
                      <w:sz w:val="21"/>
                    </w:rPr>
                    <w:t>12H，光控+时控</w:t>
                  </w:r>
                  <w:r>
                    <w:rPr>
                      <w:sz w:val="21"/>
                    </w:rPr>
                    <w:t>。</w:t>
                  </w:r>
                </w:p>
                <w:p>
                  <w:pPr>
                    <w:jc w:val="left"/>
                  </w:pPr>
                  <w:r>
                    <w:rPr>
                      <w:sz w:val="21"/>
                    </w:rPr>
                    <w:t>8、路灯设施编号路灯杆号。</w:t>
                  </w:r>
                </w:p>
              </w:tc>
              <w:tc>
                <w:tcPr>
                  <w:tcW w:type="dxa" w:w="74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893"/>
                  <w:tcBorders>
                    <w:top w:val="none" w:color="000000" w:sz="4"/>
                    <w:left w:val="single" w:color="000000" w:sz="4"/>
                    <w:bottom w:val="single" w:color="000000" w:sz="4"/>
                    <w:right w:val="single" w:color="000000" w:sz="4"/>
                  </w:tcBorders>
                  <w:vAlign w:val="top"/>
                </w:tcPr>
                <w:p>
                  <w:pPr>
                    <w:jc w:val="center"/>
                  </w:pPr>
                  <w:r>
                    <w:rPr>
                      <w:sz w:val="21"/>
                    </w:rPr>
                    <w:t>60</w:t>
                  </w: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64"/>
                  <w:tcBorders>
                    <w:top w:val="none" w:color="000000" w:sz="4"/>
                    <w:left w:val="single" w:color="000000" w:sz="4"/>
                    <w:bottom w:val="single" w:color="000000" w:sz="4"/>
                    <w:right w:val="single" w:color="000000" w:sz="4"/>
                  </w:tcBorders>
                  <w:vAlign w:val="top"/>
                </w:tcPr>
                <w:p>
                  <w:pPr>
                    <w:jc w:val="center"/>
                  </w:pPr>
                  <w:r>
                    <w:rPr>
                      <w:sz w:val="21"/>
                    </w:rPr>
                    <w:t>挖基坑土方</w:t>
                  </w:r>
                </w:p>
              </w:tc>
              <w:tc>
                <w:tcPr>
                  <w:tcW w:type="dxa" w:w="2311"/>
                  <w:tcBorders>
                    <w:top w:val="none" w:color="000000" w:sz="4"/>
                    <w:left w:val="single" w:color="000000" w:sz="4"/>
                    <w:bottom w:val="single" w:color="000000" w:sz="4"/>
                    <w:right w:val="single" w:color="000000" w:sz="4"/>
                  </w:tcBorders>
                  <w:vAlign w:val="top"/>
                </w:tcPr>
                <w:p>
                  <w:pPr>
                    <w:jc w:val="left"/>
                  </w:pPr>
                  <w:r>
                    <w:rPr>
                      <w:sz w:val="21"/>
                    </w:rPr>
                    <w:t>1、土壤类别:综合考虑</w:t>
                  </w:r>
                </w:p>
                <w:p>
                  <w:pPr>
                    <w:jc w:val="left"/>
                  </w:pPr>
                  <w:r>
                    <w:rPr>
                      <w:sz w:val="21"/>
                    </w:rPr>
                    <w:t>2、挖土深度:按现场情况综合考虑</w:t>
                  </w:r>
                </w:p>
              </w:tc>
              <w:tc>
                <w:tcPr>
                  <w:tcW w:type="dxa" w:w="749"/>
                  <w:tcBorders>
                    <w:top w:val="none" w:color="000000" w:sz="4"/>
                    <w:left w:val="single" w:color="000000" w:sz="4"/>
                    <w:bottom w:val="single" w:color="000000" w:sz="4"/>
                    <w:right w:val="single" w:color="000000" w:sz="4"/>
                  </w:tcBorders>
                  <w:vAlign w:val="top"/>
                </w:tcPr>
                <w:p>
                  <w:pPr>
                    <w:jc w:val="center"/>
                  </w:pPr>
                  <w:r>
                    <w:rPr>
                      <w:sz w:val="21"/>
                    </w:rPr>
                    <w:t>m3</w:t>
                  </w:r>
                </w:p>
              </w:tc>
              <w:tc>
                <w:tcPr>
                  <w:tcW w:type="dxa" w:w="893"/>
                  <w:tcBorders>
                    <w:top w:val="none" w:color="000000" w:sz="4"/>
                    <w:left w:val="single" w:color="000000" w:sz="4"/>
                    <w:bottom w:val="single" w:color="000000" w:sz="4"/>
                    <w:right w:val="single" w:color="000000" w:sz="4"/>
                  </w:tcBorders>
                  <w:vAlign w:val="top"/>
                </w:tcPr>
                <w:p>
                  <w:pPr>
                    <w:jc w:val="center"/>
                  </w:pPr>
                  <w:r>
                    <w:rPr>
                      <w:sz w:val="21"/>
                    </w:rPr>
                    <w:t>208.17</w:t>
                  </w: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64"/>
                  <w:tcBorders>
                    <w:top w:val="none" w:color="000000" w:sz="4"/>
                    <w:left w:val="single" w:color="000000" w:sz="4"/>
                    <w:bottom w:val="single" w:color="000000" w:sz="4"/>
                    <w:right w:val="single" w:color="000000" w:sz="4"/>
                  </w:tcBorders>
                  <w:vAlign w:val="top"/>
                </w:tcPr>
                <w:p>
                  <w:pPr>
                    <w:jc w:val="center"/>
                  </w:pPr>
                  <w:r>
                    <w:rPr>
                      <w:sz w:val="21"/>
                    </w:rPr>
                    <w:t>回填方</w:t>
                  </w:r>
                </w:p>
              </w:tc>
              <w:tc>
                <w:tcPr>
                  <w:tcW w:type="dxa" w:w="2311"/>
                  <w:tcBorders>
                    <w:top w:val="none" w:color="000000" w:sz="4"/>
                    <w:left w:val="single" w:color="000000" w:sz="4"/>
                    <w:bottom w:val="single" w:color="000000" w:sz="4"/>
                    <w:right w:val="single" w:color="000000" w:sz="4"/>
                  </w:tcBorders>
                  <w:vAlign w:val="top"/>
                </w:tcPr>
                <w:p>
                  <w:pPr>
                    <w:jc w:val="left"/>
                  </w:pPr>
                  <w:r>
                    <w:rPr>
                      <w:sz w:val="21"/>
                    </w:rPr>
                    <w:t>1、回填土 人工夯实</w:t>
                  </w:r>
                </w:p>
              </w:tc>
              <w:tc>
                <w:tcPr>
                  <w:tcW w:type="dxa" w:w="749"/>
                  <w:tcBorders>
                    <w:top w:val="none" w:color="000000" w:sz="4"/>
                    <w:left w:val="single" w:color="000000" w:sz="4"/>
                    <w:bottom w:val="single" w:color="000000" w:sz="4"/>
                    <w:right w:val="single" w:color="000000" w:sz="4"/>
                  </w:tcBorders>
                  <w:vAlign w:val="top"/>
                </w:tcPr>
                <w:p>
                  <w:pPr>
                    <w:jc w:val="center"/>
                  </w:pPr>
                  <w:r>
                    <w:rPr>
                      <w:sz w:val="21"/>
                    </w:rPr>
                    <w:t>m3</w:t>
                  </w:r>
                </w:p>
              </w:tc>
              <w:tc>
                <w:tcPr>
                  <w:tcW w:type="dxa" w:w="893"/>
                  <w:tcBorders>
                    <w:top w:val="none" w:color="000000" w:sz="4"/>
                    <w:left w:val="single" w:color="000000" w:sz="4"/>
                    <w:bottom w:val="single" w:color="000000" w:sz="4"/>
                    <w:right w:val="single" w:color="000000" w:sz="4"/>
                  </w:tcBorders>
                  <w:vAlign w:val="top"/>
                </w:tcPr>
                <w:p>
                  <w:pPr>
                    <w:jc w:val="center"/>
                  </w:pPr>
                  <w:r>
                    <w:rPr>
                      <w:sz w:val="21"/>
                    </w:rPr>
                    <w:t>56.77</w:t>
                  </w: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64"/>
                  <w:tcBorders>
                    <w:top w:val="none" w:color="000000" w:sz="4"/>
                    <w:left w:val="single" w:color="000000" w:sz="4"/>
                    <w:bottom w:val="single" w:color="000000" w:sz="4"/>
                    <w:right w:val="single" w:color="000000" w:sz="4"/>
                  </w:tcBorders>
                  <w:vAlign w:val="top"/>
                </w:tcPr>
                <w:p>
                  <w:pPr>
                    <w:jc w:val="center"/>
                  </w:pPr>
                  <w:r>
                    <w:rPr>
                      <w:sz w:val="21"/>
                    </w:rPr>
                    <w:t>路灯基础</w:t>
                  </w:r>
                </w:p>
              </w:tc>
              <w:tc>
                <w:tcPr>
                  <w:tcW w:type="dxa" w:w="2311"/>
                  <w:tcBorders>
                    <w:top w:val="none" w:color="000000" w:sz="4"/>
                    <w:left w:val="single" w:color="000000" w:sz="4"/>
                    <w:bottom w:val="single" w:color="000000" w:sz="4"/>
                    <w:right w:val="single" w:color="000000" w:sz="4"/>
                  </w:tcBorders>
                  <w:vAlign w:val="top"/>
                </w:tcPr>
                <w:p>
                  <w:pPr>
                    <w:jc w:val="left"/>
                  </w:pPr>
                  <w:r>
                    <w:rPr>
                      <w:sz w:val="21"/>
                    </w:rPr>
                    <w:t>1、基础:厚度、材料品种、强度等级:C20混凝土基础800mm×800mm×1000mm</w:t>
                  </w:r>
                </w:p>
                <w:p>
                  <w:pPr>
                    <w:jc w:val="left"/>
                  </w:pPr>
                  <w:r>
                    <w:rPr>
                      <w:sz w:val="21"/>
                    </w:rPr>
                    <w:t>2、其他详见设计图纸</w:t>
                  </w:r>
                </w:p>
              </w:tc>
              <w:tc>
                <w:tcPr>
                  <w:tcW w:type="dxa" w:w="749"/>
                  <w:tcBorders>
                    <w:top w:val="none" w:color="000000" w:sz="4"/>
                    <w:left w:val="single" w:color="000000" w:sz="4"/>
                    <w:bottom w:val="single" w:color="000000" w:sz="4"/>
                    <w:right w:val="single" w:color="000000" w:sz="4"/>
                  </w:tcBorders>
                  <w:vAlign w:val="top"/>
                </w:tcPr>
                <w:p>
                  <w:pPr>
                    <w:jc w:val="center"/>
                  </w:pPr>
                  <w:r>
                    <w:rPr>
                      <w:sz w:val="21"/>
                    </w:rPr>
                    <w:t>m3</w:t>
                  </w:r>
                </w:p>
              </w:tc>
              <w:tc>
                <w:tcPr>
                  <w:tcW w:type="dxa" w:w="893"/>
                  <w:tcBorders>
                    <w:top w:val="none" w:color="000000" w:sz="4"/>
                    <w:left w:val="single" w:color="000000" w:sz="4"/>
                    <w:bottom w:val="single" w:color="000000" w:sz="4"/>
                    <w:right w:val="single" w:color="000000" w:sz="4"/>
                  </w:tcBorders>
                  <w:vAlign w:val="top"/>
                </w:tcPr>
                <w:p>
                  <w:pPr>
                    <w:jc w:val="center"/>
                  </w:pPr>
                  <w:r>
                    <w:rPr>
                      <w:sz w:val="21"/>
                    </w:rPr>
                    <w:t>250.24</w:t>
                  </w: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164"/>
                  <w:tcBorders>
                    <w:top w:val="none" w:color="000000" w:sz="4"/>
                    <w:left w:val="single" w:color="000000" w:sz="4"/>
                    <w:bottom w:val="single" w:color="000000" w:sz="4"/>
                    <w:right w:val="single" w:color="000000" w:sz="4"/>
                  </w:tcBorders>
                  <w:vAlign w:val="top"/>
                </w:tcPr>
                <w:p>
                  <w:pPr>
                    <w:jc w:val="center"/>
                  </w:pPr>
                  <w:r>
                    <w:rPr>
                      <w:sz w:val="21"/>
                    </w:rPr>
                    <w:t>预埋铁件</w:t>
                  </w:r>
                </w:p>
              </w:tc>
              <w:tc>
                <w:tcPr>
                  <w:tcW w:type="dxa" w:w="2311"/>
                  <w:tcBorders>
                    <w:top w:val="none" w:color="000000" w:sz="4"/>
                    <w:left w:val="single" w:color="000000" w:sz="4"/>
                    <w:bottom w:val="single" w:color="000000" w:sz="4"/>
                    <w:right w:val="single" w:color="000000" w:sz="4"/>
                  </w:tcBorders>
                  <w:vAlign w:val="top"/>
                </w:tcPr>
                <w:p>
                  <w:pPr>
                    <w:jc w:val="left"/>
                  </w:pPr>
                  <w:r>
                    <w:rPr>
                      <w:sz w:val="21"/>
                    </w:rPr>
                    <w:t>1、部位：路灯基础</w:t>
                  </w:r>
                </w:p>
                <w:p>
                  <w:pPr>
                    <w:jc w:val="left"/>
                  </w:pPr>
                  <w:r>
                    <w:rPr>
                      <w:sz w:val="21"/>
                    </w:rPr>
                    <w:t>2、预埋铁件</w:t>
                  </w:r>
                </w:p>
              </w:tc>
              <w:tc>
                <w:tcPr>
                  <w:tcW w:type="dxa" w:w="749"/>
                  <w:tcBorders>
                    <w:top w:val="none" w:color="000000" w:sz="4"/>
                    <w:left w:val="single" w:color="000000" w:sz="4"/>
                    <w:bottom w:val="single" w:color="000000" w:sz="4"/>
                    <w:right w:val="single" w:color="000000" w:sz="4"/>
                  </w:tcBorders>
                  <w:vAlign w:val="top"/>
                </w:tcPr>
                <w:p>
                  <w:pPr>
                    <w:jc w:val="center"/>
                  </w:pPr>
                  <w:r>
                    <w:rPr>
                      <w:sz w:val="21"/>
                    </w:rPr>
                    <w:t>t</w:t>
                  </w:r>
                </w:p>
              </w:tc>
              <w:tc>
                <w:tcPr>
                  <w:tcW w:type="dxa" w:w="893"/>
                  <w:tcBorders>
                    <w:top w:val="none" w:color="000000" w:sz="4"/>
                    <w:left w:val="single" w:color="000000" w:sz="4"/>
                    <w:bottom w:val="single" w:color="000000" w:sz="4"/>
                    <w:right w:val="single" w:color="000000" w:sz="4"/>
                  </w:tcBorders>
                  <w:vAlign w:val="top"/>
                </w:tcPr>
                <w:p>
                  <w:pPr>
                    <w:jc w:val="center"/>
                  </w:pPr>
                  <w:r>
                    <w:rPr>
                      <w:sz w:val="21"/>
                    </w:rPr>
                    <w:t>1.372</w:t>
                  </w: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164"/>
                  <w:tcBorders>
                    <w:top w:val="none" w:color="000000" w:sz="4"/>
                    <w:left w:val="single" w:color="000000" w:sz="4"/>
                    <w:bottom w:val="single" w:color="000000" w:sz="4"/>
                    <w:right w:val="single" w:color="000000" w:sz="4"/>
                  </w:tcBorders>
                  <w:vAlign w:val="top"/>
                </w:tcPr>
                <w:p>
                  <w:pPr>
                    <w:jc w:val="center"/>
                  </w:pPr>
                  <w:r>
                    <w:rPr>
                      <w:sz w:val="21"/>
                    </w:rPr>
                    <w:t>现浇构件钢筋</w:t>
                  </w:r>
                </w:p>
              </w:tc>
              <w:tc>
                <w:tcPr>
                  <w:tcW w:type="dxa" w:w="2311"/>
                  <w:tcBorders>
                    <w:top w:val="none" w:color="000000" w:sz="4"/>
                    <w:left w:val="single" w:color="000000" w:sz="4"/>
                    <w:bottom w:val="single" w:color="000000" w:sz="4"/>
                    <w:right w:val="single" w:color="000000" w:sz="4"/>
                  </w:tcBorders>
                  <w:vAlign w:val="top"/>
                </w:tcPr>
                <w:p>
                  <w:pPr>
                    <w:jc w:val="left"/>
                  </w:pPr>
                  <w:r>
                    <w:rPr>
                      <w:sz w:val="21"/>
                    </w:rPr>
                    <w:t>1、部位：路灯基础</w:t>
                  </w:r>
                </w:p>
                <w:p>
                  <w:pPr>
                    <w:jc w:val="left"/>
                  </w:pPr>
                  <w:r>
                    <w:rPr>
                      <w:sz w:val="21"/>
                    </w:rPr>
                    <w:t>2、材料种类:HPB300</w:t>
                  </w:r>
                </w:p>
                <w:p>
                  <w:pPr>
                    <w:jc w:val="left"/>
                  </w:pPr>
                  <w:r>
                    <w:rPr>
                      <w:sz w:val="21"/>
                    </w:rPr>
                    <w:t>3、钢筋规格:φ10~25</w:t>
                  </w:r>
                </w:p>
              </w:tc>
              <w:tc>
                <w:tcPr>
                  <w:tcW w:type="dxa" w:w="749"/>
                  <w:tcBorders>
                    <w:top w:val="none" w:color="000000" w:sz="4"/>
                    <w:left w:val="single" w:color="000000" w:sz="4"/>
                    <w:bottom w:val="single" w:color="000000" w:sz="4"/>
                    <w:right w:val="single" w:color="000000" w:sz="4"/>
                  </w:tcBorders>
                  <w:vAlign w:val="top"/>
                </w:tcPr>
                <w:p>
                  <w:pPr>
                    <w:jc w:val="center"/>
                  </w:pPr>
                  <w:r>
                    <w:rPr>
                      <w:sz w:val="21"/>
                    </w:rPr>
                    <w:t>t</w:t>
                  </w:r>
                </w:p>
              </w:tc>
              <w:tc>
                <w:tcPr>
                  <w:tcW w:type="dxa" w:w="893"/>
                  <w:tcBorders>
                    <w:top w:val="none" w:color="000000" w:sz="4"/>
                    <w:left w:val="single" w:color="000000" w:sz="4"/>
                    <w:bottom w:val="single" w:color="000000" w:sz="4"/>
                    <w:right w:val="single" w:color="000000" w:sz="4"/>
                  </w:tcBorders>
                  <w:vAlign w:val="top"/>
                </w:tcPr>
                <w:p>
                  <w:pPr>
                    <w:jc w:val="center"/>
                  </w:pPr>
                  <w:r>
                    <w:rPr>
                      <w:sz w:val="21"/>
                    </w:rPr>
                    <w:t>1.223</w:t>
                  </w: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164"/>
                  <w:tcBorders>
                    <w:top w:val="none" w:color="000000" w:sz="4"/>
                    <w:left w:val="single" w:color="000000" w:sz="4"/>
                    <w:bottom w:val="single" w:color="000000" w:sz="4"/>
                    <w:right w:val="single" w:color="000000" w:sz="4"/>
                  </w:tcBorders>
                  <w:vAlign w:val="top"/>
                </w:tcPr>
                <w:p>
                  <w:pPr>
                    <w:jc w:val="center"/>
                  </w:pPr>
                  <w:r>
                    <w:rPr>
                      <w:sz w:val="21"/>
                    </w:rPr>
                    <w:t>螺栓</w:t>
                  </w:r>
                </w:p>
              </w:tc>
              <w:tc>
                <w:tcPr>
                  <w:tcW w:type="dxa" w:w="2311"/>
                  <w:tcBorders>
                    <w:top w:val="none" w:color="000000" w:sz="4"/>
                    <w:left w:val="single" w:color="000000" w:sz="4"/>
                    <w:bottom w:val="single" w:color="000000" w:sz="4"/>
                    <w:right w:val="single" w:color="000000" w:sz="4"/>
                  </w:tcBorders>
                  <w:vAlign w:val="top"/>
                </w:tcPr>
                <w:p>
                  <w:pPr>
                    <w:jc w:val="left"/>
                  </w:pPr>
                  <w:r>
                    <w:rPr>
                      <w:sz w:val="21"/>
                    </w:rPr>
                    <w:t>1、螺栓种类:M28*800长螺纹地脚螺栓</w:t>
                  </w:r>
                </w:p>
              </w:tc>
              <w:tc>
                <w:tcPr>
                  <w:tcW w:type="dxa" w:w="749"/>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893"/>
                  <w:tcBorders>
                    <w:top w:val="none" w:color="000000" w:sz="4"/>
                    <w:left w:val="single" w:color="000000" w:sz="4"/>
                    <w:bottom w:val="single" w:color="000000" w:sz="4"/>
                    <w:right w:val="single" w:color="000000" w:sz="4"/>
                  </w:tcBorders>
                  <w:vAlign w:val="top"/>
                </w:tcPr>
                <w:p>
                  <w:pPr>
                    <w:jc w:val="center"/>
                  </w:pPr>
                  <w:r>
                    <w:rPr>
                      <w:sz w:val="21"/>
                    </w:rPr>
                    <w:t>1564</w:t>
                  </w: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164"/>
                  <w:tcBorders>
                    <w:top w:val="none" w:color="000000" w:sz="4"/>
                    <w:left w:val="single" w:color="000000" w:sz="4"/>
                    <w:bottom w:val="single" w:color="000000" w:sz="4"/>
                    <w:right w:val="single" w:color="000000" w:sz="4"/>
                  </w:tcBorders>
                  <w:vAlign w:val="top"/>
                </w:tcPr>
                <w:p>
                  <w:pPr>
                    <w:jc w:val="center"/>
                  </w:pPr>
                  <w:r>
                    <w:rPr>
                      <w:sz w:val="21"/>
                    </w:rPr>
                    <w:t>机械切缝</w:t>
                  </w:r>
                </w:p>
              </w:tc>
              <w:tc>
                <w:tcPr>
                  <w:tcW w:type="dxa" w:w="2311"/>
                  <w:tcBorders>
                    <w:top w:val="none" w:color="000000" w:sz="4"/>
                    <w:left w:val="single" w:color="000000" w:sz="4"/>
                    <w:bottom w:val="single" w:color="000000" w:sz="4"/>
                    <w:right w:val="single" w:color="000000" w:sz="4"/>
                  </w:tcBorders>
                  <w:vAlign w:val="top"/>
                </w:tcPr>
                <w:p>
                  <w:pPr>
                    <w:jc w:val="left"/>
                  </w:pPr>
                  <w:r>
                    <w:rPr>
                      <w:sz w:val="21"/>
                    </w:rPr>
                    <w:t>1、工艺要求:机械切缝原混凝土路面</w:t>
                  </w:r>
                </w:p>
              </w:tc>
              <w:tc>
                <w:tcPr>
                  <w:tcW w:type="dxa" w:w="749"/>
                  <w:tcBorders>
                    <w:top w:val="none" w:color="000000" w:sz="4"/>
                    <w:left w:val="single" w:color="000000" w:sz="4"/>
                    <w:bottom w:val="single" w:color="000000" w:sz="4"/>
                    <w:right w:val="single" w:color="000000" w:sz="4"/>
                  </w:tcBorders>
                  <w:vAlign w:val="top"/>
                </w:tcPr>
                <w:p>
                  <w:pPr>
                    <w:jc w:val="center"/>
                  </w:pPr>
                  <w:r>
                    <w:rPr>
                      <w:sz w:val="21"/>
                    </w:rPr>
                    <w:t>m</w:t>
                  </w:r>
                </w:p>
              </w:tc>
              <w:tc>
                <w:tcPr>
                  <w:tcW w:type="dxa" w:w="893"/>
                  <w:tcBorders>
                    <w:top w:val="none" w:color="000000" w:sz="4"/>
                    <w:left w:val="single" w:color="000000" w:sz="4"/>
                    <w:bottom w:val="single" w:color="000000" w:sz="4"/>
                    <w:right w:val="single" w:color="000000" w:sz="4"/>
                  </w:tcBorders>
                  <w:vAlign w:val="top"/>
                </w:tcPr>
                <w:p>
                  <w:pPr>
                    <w:jc w:val="center"/>
                  </w:pPr>
                  <w:r>
                    <w:rPr>
                      <w:sz w:val="21"/>
                    </w:rPr>
                    <w:t>469.2</w:t>
                  </w: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164"/>
                  <w:tcBorders>
                    <w:top w:val="none" w:color="000000" w:sz="4"/>
                    <w:left w:val="single" w:color="000000" w:sz="4"/>
                    <w:bottom w:val="single" w:color="000000" w:sz="4"/>
                    <w:right w:val="single" w:color="000000" w:sz="4"/>
                  </w:tcBorders>
                  <w:vAlign w:val="top"/>
                </w:tcPr>
                <w:p>
                  <w:pPr>
                    <w:jc w:val="center"/>
                  </w:pPr>
                  <w:r>
                    <w:rPr>
                      <w:sz w:val="21"/>
                    </w:rPr>
                    <w:t>机械切缝混凝土栏杆</w:t>
                  </w:r>
                </w:p>
              </w:tc>
              <w:tc>
                <w:tcPr>
                  <w:tcW w:type="dxa" w:w="2311"/>
                  <w:tcBorders>
                    <w:top w:val="none" w:color="000000" w:sz="4"/>
                    <w:left w:val="single" w:color="000000" w:sz="4"/>
                    <w:bottom w:val="single" w:color="000000" w:sz="4"/>
                    <w:right w:val="single" w:color="000000" w:sz="4"/>
                  </w:tcBorders>
                  <w:vAlign w:val="top"/>
                </w:tcPr>
                <w:p>
                  <w:pPr>
                    <w:jc w:val="left"/>
                  </w:pPr>
                  <w:r>
                    <w:rPr>
                      <w:sz w:val="21"/>
                    </w:rPr>
                    <w:t>1、工艺要求:机械切割缝原有国道中央钢筋砼防撞护栏</w:t>
                  </w:r>
                </w:p>
              </w:tc>
              <w:tc>
                <w:tcPr>
                  <w:tcW w:type="dxa" w:w="749"/>
                  <w:tcBorders>
                    <w:top w:val="none" w:color="000000" w:sz="4"/>
                    <w:left w:val="single" w:color="000000" w:sz="4"/>
                    <w:bottom w:val="single" w:color="000000" w:sz="4"/>
                    <w:right w:val="single" w:color="000000" w:sz="4"/>
                  </w:tcBorders>
                  <w:vAlign w:val="top"/>
                </w:tcPr>
                <w:p>
                  <w:pPr>
                    <w:jc w:val="center"/>
                  </w:pPr>
                  <w:r>
                    <w:rPr>
                      <w:sz w:val="21"/>
                    </w:rPr>
                    <w:t>处</w:t>
                  </w:r>
                </w:p>
              </w:tc>
              <w:tc>
                <w:tcPr>
                  <w:tcW w:type="dxa" w:w="893"/>
                  <w:tcBorders>
                    <w:top w:val="none" w:color="000000" w:sz="4"/>
                    <w:left w:val="single" w:color="000000" w:sz="4"/>
                    <w:bottom w:val="single" w:color="000000" w:sz="4"/>
                    <w:right w:val="single" w:color="000000" w:sz="4"/>
                  </w:tcBorders>
                  <w:vAlign w:val="top"/>
                </w:tcPr>
                <w:p>
                  <w:pPr>
                    <w:jc w:val="center"/>
                  </w:pPr>
                  <w:r>
                    <w:rPr>
                      <w:sz w:val="21"/>
                    </w:rPr>
                    <w:t>391</w:t>
                  </w: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164"/>
                  <w:tcBorders>
                    <w:top w:val="none" w:color="000000" w:sz="4"/>
                    <w:left w:val="single" w:color="000000" w:sz="4"/>
                    <w:bottom w:val="single" w:color="000000" w:sz="4"/>
                    <w:right w:val="single" w:color="000000" w:sz="4"/>
                  </w:tcBorders>
                  <w:vAlign w:val="top"/>
                </w:tcPr>
                <w:p>
                  <w:pPr>
                    <w:jc w:val="center"/>
                  </w:pPr>
                  <w:r>
                    <w:rPr>
                      <w:sz w:val="21"/>
                    </w:rPr>
                    <w:t>拆除混凝土结构</w:t>
                  </w:r>
                </w:p>
              </w:tc>
              <w:tc>
                <w:tcPr>
                  <w:tcW w:type="dxa" w:w="2311"/>
                  <w:tcBorders>
                    <w:top w:val="none" w:color="000000" w:sz="4"/>
                    <w:left w:val="single" w:color="000000" w:sz="4"/>
                    <w:bottom w:val="single" w:color="000000" w:sz="4"/>
                    <w:right w:val="single" w:color="000000" w:sz="4"/>
                  </w:tcBorders>
                  <w:vAlign w:val="top"/>
                </w:tcPr>
                <w:p>
                  <w:pPr>
                    <w:jc w:val="left"/>
                  </w:pPr>
                  <w:r>
                    <w:rPr>
                      <w:sz w:val="21"/>
                    </w:rPr>
                    <w:t>1、切割原有国道中央钢筋砼防撞护栏面800mm，高1175mm，截面0.454m2，共391处。</w:t>
                  </w:r>
                </w:p>
                <w:p>
                  <w:pPr>
                    <w:jc w:val="left"/>
                  </w:pPr>
                  <w:r>
                    <w:rPr>
                      <w:sz w:val="21"/>
                    </w:rPr>
                    <w:t>2、废碴运距综合考虑</w:t>
                  </w:r>
                </w:p>
              </w:tc>
              <w:tc>
                <w:tcPr>
                  <w:tcW w:type="dxa" w:w="749"/>
                  <w:tcBorders>
                    <w:top w:val="none" w:color="000000" w:sz="4"/>
                    <w:left w:val="single" w:color="000000" w:sz="4"/>
                    <w:bottom w:val="single" w:color="000000" w:sz="4"/>
                    <w:right w:val="single" w:color="000000" w:sz="4"/>
                  </w:tcBorders>
                  <w:vAlign w:val="top"/>
                </w:tcPr>
                <w:p>
                  <w:pPr>
                    <w:jc w:val="center"/>
                  </w:pPr>
                  <w:r>
                    <w:rPr>
                      <w:sz w:val="21"/>
                    </w:rPr>
                    <w:t>m3</w:t>
                  </w:r>
                </w:p>
              </w:tc>
              <w:tc>
                <w:tcPr>
                  <w:tcW w:type="dxa" w:w="893"/>
                  <w:tcBorders>
                    <w:top w:val="none" w:color="000000" w:sz="4"/>
                    <w:left w:val="single" w:color="000000" w:sz="4"/>
                    <w:bottom w:val="single" w:color="000000" w:sz="4"/>
                    <w:right w:val="single" w:color="000000" w:sz="4"/>
                  </w:tcBorders>
                  <w:vAlign w:val="top"/>
                </w:tcPr>
                <w:p>
                  <w:pPr>
                    <w:jc w:val="center"/>
                  </w:pPr>
                  <w:r>
                    <w:rPr>
                      <w:sz w:val="21"/>
                    </w:rPr>
                    <w:t>142.01</w:t>
                  </w: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164"/>
                  <w:tcBorders>
                    <w:top w:val="none" w:color="000000" w:sz="4"/>
                    <w:left w:val="single" w:color="000000" w:sz="4"/>
                    <w:bottom w:val="single" w:color="000000" w:sz="4"/>
                    <w:right w:val="single" w:color="000000" w:sz="4"/>
                  </w:tcBorders>
                  <w:vAlign w:val="top"/>
                </w:tcPr>
                <w:p>
                  <w:pPr>
                    <w:jc w:val="center"/>
                  </w:pPr>
                  <w:r>
                    <w:rPr>
                      <w:sz w:val="21"/>
                    </w:rPr>
                    <w:t>一般抹灰</w:t>
                  </w:r>
                </w:p>
              </w:tc>
              <w:tc>
                <w:tcPr>
                  <w:tcW w:type="dxa" w:w="2311"/>
                  <w:tcBorders>
                    <w:top w:val="none" w:color="000000" w:sz="4"/>
                    <w:left w:val="single" w:color="000000" w:sz="4"/>
                    <w:bottom w:val="single" w:color="000000" w:sz="4"/>
                    <w:right w:val="single" w:color="000000" w:sz="4"/>
                  </w:tcBorders>
                  <w:vAlign w:val="top"/>
                </w:tcPr>
                <w:p>
                  <w:pPr>
                    <w:jc w:val="left"/>
                  </w:pPr>
                  <w:r>
                    <w:rPr>
                      <w:sz w:val="21"/>
                    </w:rPr>
                    <w:t>1、底层厚度、砂浆配合比:切割处防撞护栏两侧表面需用40mm厚1：2.5水泥砂浆</w:t>
                  </w:r>
                </w:p>
              </w:tc>
              <w:tc>
                <w:tcPr>
                  <w:tcW w:type="dxa" w:w="749"/>
                  <w:tcBorders>
                    <w:top w:val="none" w:color="000000" w:sz="4"/>
                    <w:left w:val="single" w:color="000000" w:sz="4"/>
                    <w:bottom w:val="single" w:color="000000" w:sz="4"/>
                    <w:right w:val="single" w:color="000000" w:sz="4"/>
                  </w:tcBorders>
                  <w:vAlign w:val="top"/>
                </w:tcPr>
                <w:p>
                  <w:pPr>
                    <w:jc w:val="center"/>
                  </w:pPr>
                  <w:r>
                    <w:rPr>
                      <w:sz w:val="21"/>
                    </w:rPr>
                    <w:t>m2</w:t>
                  </w:r>
                </w:p>
              </w:tc>
              <w:tc>
                <w:tcPr>
                  <w:tcW w:type="dxa" w:w="893"/>
                  <w:tcBorders>
                    <w:top w:val="none" w:color="000000" w:sz="4"/>
                    <w:left w:val="single" w:color="000000" w:sz="4"/>
                    <w:bottom w:val="single" w:color="000000" w:sz="4"/>
                    <w:right w:val="single" w:color="000000" w:sz="4"/>
                  </w:tcBorders>
                  <w:vAlign w:val="top"/>
                </w:tcPr>
                <w:p>
                  <w:pPr>
                    <w:jc w:val="center"/>
                  </w:pPr>
                  <w:r>
                    <w:rPr>
                      <w:sz w:val="21"/>
                    </w:rPr>
                    <w:t>355.03</w:t>
                  </w: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164"/>
                  <w:tcBorders>
                    <w:top w:val="none" w:color="000000" w:sz="4"/>
                    <w:left w:val="single" w:color="000000" w:sz="4"/>
                    <w:bottom w:val="single" w:color="000000" w:sz="4"/>
                    <w:right w:val="single" w:color="000000" w:sz="4"/>
                  </w:tcBorders>
                  <w:vAlign w:val="top"/>
                </w:tcPr>
                <w:p>
                  <w:pPr>
                    <w:jc w:val="center"/>
                  </w:pPr>
                  <w:r>
                    <w:rPr>
                      <w:sz w:val="21"/>
                    </w:rPr>
                    <w:t>满刮腻子</w:t>
                  </w:r>
                </w:p>
              </w:tc>
              <w:tc>
                <w:tcPr>
                  <w:tcW w:type="dxa" w:w="2311"/>
                  <w:tcBorders>
                    <w:top w:val="none" w:color="000000" w:sz="4"/>
                    <w:left w:val="single" w:color="000000" w:sz="4"/>
                    <w:bottom w:val="single" w:color="000000" w:sz="4"/>
                    <w:right w:val="single" w:color="000000" w:sz="4"/>
                  </w:tcBorders>
                  <w:vAlign w:val="top"/>
                </w:tcPr>
                <w:p>
                  <w:pPr>
                    <w:jc w:val="left"/>
                  </w:pPr>
                  <w:r>
                    <w:rPr>
                      <w:sz w:val="21"/>
                    </w:rPr>
                    <w:t>1、腻子种类:乳胶腻子两遍修复</w:t>
                  </w:r>
                </w:p>
              </w:tc>
              <w:tc>
                <w:tcPr>
                  <w:tcW w:type="dxa" w:w="749"/>
                  <w:tcBorders>
                    <w:top w:val="none" w:color="000000" w:sz="4"/>
                    <w:left w:val="single" w:color="000000" w:sz="4"/>
                    <w:bottom w:val="single" w:color="000000" w:sz="4"/>
                    <w:right w:val="single" w:color="000000" w:sz="4"/>
                  </w:tcBorders>
                  <w:vAlign w:val="top"/>
                </w:tcPr>
                <w:p>
                  <w:pPr>
                    <w:jc w:val="center"/>
                  </w:pPr>
                  <w:r>
                    <w:rPr>
                      <w:sz w:val="21"/>
                    </w:rPr>
                    <w:t>m2</w:t>
                  </w:r>
                </w:p>
              </w:tc>
              <w:tc>
                <w:tcPr>
                  <w:tcW w:type="dxa" w:w="893"/>
                  <w:tcBorders>
                    <w:top w:val="none" w:color="000000" w:sz="4"/>
                    <w:left w:val="single" w:color="000000" w:sz="4"/>
                    <w:bottom w:val="single" w:color="000000" w:sz="4"/>
                    <w:right w:val="single" w:color="000000" w:sz="4"/>
                  </w:tcBorders>
                  <w:vAlign w:val="top"/>
                </w:tcPr>
                <w:p>
                  <w:pPr>
                    <w:jc w:val="center"/>
                  </w:pPr>
                  <w:r>
                    <w:rPr>
                      <w:sz w:val="21"/>
                    </w:rPr>
                    <w:t>355.03</w:t>
                  </w: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164"/>
                  <w:tcBorders>
                    <w:top w:val="none" w:color="000000" w:sz="4"/>
                    <w:left w:val="single" w:color="000000" w:sz="4"/>
                    <w:bottom w:val="single" w:color="000000" w:sz="4"/>
                    <w:right w:val="single" w:color="000000" w:sz="4"/>
                  </w:tcBorders>
                  <w:vAlign w:val="top"/>
                </w:tcPr>
                <w:p>
                  <w:pPr>
                    <w:jc w:val="center"/>
                  </w:pPr>
                  <w:r>
                    <w:rPr>
                      <w:sz w:val="21"/>
                    </w:rPr>
                    <w:t>拆除路面</w:t>
                  </w:r>
                </w:p>
              </w:tc>
              <w:tc>
                <w:tcPr>
                  <w:tcW w:type="dxa" w:w="2311"/>
                  <w:tcBorders>
                    <w:top w:val="none" w:color="000000" w:sz="4"/>
                    <w:left w:val="single" w:color="000000" w:sz="4"/>
                    <w:bottom w:val="single" w:color="000000" w:sz="4"/>
                    <w:right w:val="single" w:color="000000" w:sz="4"/>
                  </w:tcBorders>
                  <w:vAlign w:val="top"/>
                </w:tcPr>
                <w:p>
                  <w:pPr>
                    <w:jc w:val="left"/>
                  </w:pPr>
                  <w:r>
                    <w:rPr>
                      <w:sz w:val="21"/>
                    </w:rPr>
                    <w:t>1、小型机械拆除混凝土类路面层 无筋 厚15cm内 实际厚度(cm):22</w:t>
                  </w:r>
                </w:p>
                <w:p>
                  <w:pPr>
                    <w:jc w:val="left"/>
                  </w:pPr>
                  <w:r>
                    <w:rPr>
                      <w:sz w:val="21"/>
                    </w:rPr>
                    <w:t>2、废碴运距综合考虑</w:t>
                  </w:r>
                </w:p>
              </w:tc>
              <w:tc>
                <w:tcPr>
                  <w:tcW w:type="dxa" w:w="749"/>
                  <w:tcBorders>
                    <w:top w:val="none" w:color="000000" w:sz="4"/>
                    <w:left w:val="single" w:color="000000" w:sz="4"/>
                    <w:bottom w:val="single" w:color="000000" w:sz="4"/>
                    <w:right w:val="single" w:color="000000" w:sz="4"/>
                  </w:tcBorders>
                  <w:vAlign w:val="top"/>
                </w:tcPr>
                <w:p>
                  <w:pPr>
                    <w:jc w:val="center"/>
                  </w:pPr>
                  <w:r>
                    <w:rPr>
                      <w:sz w:val="21"/>
                    </w:rPr>
                    <w:t>m2</w:t>
                  </w:r>
                </w:p>
              </w:tc>
              <w:tc>
                <w:tcPr>
                  <w:tcW w:type="dxa" w:w="893"/>
                  <w:tcBorders>
                    <w:top w:val="none" w:color="000000" w:sz="4"/>
                    <w:left w:val="single" w:color="000000" w:sz="4"/>
                    <w:bottom w:val="single" w:color="000000" w:sz="4"/>
                    <w:right w:val="single" w:color="000000" w:sz="4"/>
                  </w:tcBorders>
                  <w:vAlign w:val="top"/>
                </w:tcPr>
                <w:p>
                  <w:pPr>
                    <w:jc w:val="center"/>
                  </w:pPr>
                  <w:r>
                    <w:rPr>
                      <w:sz w:val="21"/>
                    </w:rPr>
                    <w:t>250.24</w:t>
                  </w: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164"/>
                  <w:tcBorders>
                    <w:top w:val="none" w:color="000000" w:sz="4"/>
                    <w:left w:val="single" w:color="000000" w:sz="4"/>
                    <w:bottom w:val="single" w:color="000000" w:sz="4"/>
                    <w:right w:val="single" w:color="000000" w:sz="4"/>
                  </w:tcBorders>
                  <w:vAlign w:val="top"/>
                </w:tcPr>
                <w:p>
                  <w:pPr>
                    <w:jc w:val="center"/>
                  </w:pPr>
                  <w:r>
                    <w:rPr>
                      <w:sz w:val="21"/>
                    </w:rPr>
                    <w:t>垫层模板</w:t>
                  </w:r>
                </w:p>
              </w:tc>
              <w:tc>
                <w:tcPr>
                  <w:tcW w:type="dxa" w:w="2311"/>
                  <w:tcBorders>
                    <w:top w:val="none" w:color="000000" w:sz="4"/>
                    <w:left w:val="single" w:color="000000" w:sz="4"/>
                    <w:bottom w:val="single" w:color="000000" w:sz="4"/>
                    <w:right w:val="single" w:color="000000" w:sz="4"/>
                  </w:tcBorders>
                  <w:vAlign w:val="top"/>
                </w:tcPr>
                <w:p>
                  <w:pPr>
                    <w:jc w:val="left"/>
                  </w:pPr>
                  <w:r>
                    <w:rPr>
                      <w:sz w:val="21"/>
                    </w:rPr>
                    <w:t>1、基础模板</w:t>
                  </w:r>
                </w:p>
              </w:tc>
              <w:tc>
                <w:tcPr>
                  <w:tcW w:type="dxa" w:w="749"/>
                  <w:tcBorders>
                    <w:top w:val="none" w:color="000000" w:sz="4"/>
                    <w:left w:val="single" w:color="000000" w:sz="4"/>
                    <w:bottom w:val="single" w:color="000000" w:sz="4"/>
                    <w:right w:val="single" w:color="000000" w:sz="4"/>
                  </w:tcBorders>
                  <w:vAlign w:val="top"/>
                </w:tcPr>
                <w:p>
                  <w:pPr>
                    <w:jc w:val="center"/>
                  </w:pPr>
                  <w:r>
                    <w:rPr>
                      <w:sz w:val="21"/>
                    </w:rPr>
                    <w:t>m2</w:t>
                  </w:r>
                </w:p>
              </w:tc>
              <w:tc>
                <w:tcPr>
                  <w:tcW w:type="dxa" w:w="893"/>
                  <w:tcBorders>
                    <w:top w:val="none" w:color="000000" w:sz="4"/>
                    <w:left w:val="single" w:color="000000" w:sz="4"/>
                    <w:bottom w:val="single" w:color="000000" w:sz="4"/>
                    <w:right w:val="single" w:color="000000" w:sz="4"/>
                  </w:tcBorders>
                  <w:vAlign w:val="top"/>
                </w:tcPr>
                <w:p>
                  <w:pPr>
                    <w:jc w:val="center"/>
                  </w:pPr>
                  <w:r>
                    <w:rPr>
                      <w:sz w:val="21"/>
                    </w:rPr>
                    <w:t>312.8</w:t>
                  </w:r>
                </w:p>
              </w:tc>
            </w:tr>
          </w:tbl>
        </w:tc>
      </w:tr>
      <w:tr>
        <w:tc>
          <w:tcPr>
            <w:tcW w:type="dxa" w:w="2076"/>
          </w:tcPr>
          <w:p>
            <w:r>
              <w:rPr/>
              <w:t>▲</w:t>
            </w:r>
          </w:p>
        </w:tc>
        <w:tc>
          <w:tcPr>
            <w:tcW w:type="dxa" w:w="415"/>
          </w:tcPr>
          <w:p>
            <w:r>
              <w:rPr/>
              <w:t>2</w:t>
            </w:r>
          </w:p>
        </w:tc>
        <w:tc>
          <w:tcPr>
            <w:tcW w:type="dxa" w:w="5814"/>
          </w:tcPr>
          <w:p>
            <w:pPr>
              <w:jc w:val="left"/>
            </w:pPr>
            <w:r>
              <w:rPr>
                <w:b/>
                <w:sz w:val="21"/>
              </w:rPr>
              <w:t>一、</w:t>
            </w:r>
            <w:r>
              <w:rPr>
                <w:b/>
                <w:sz w:val="21"/>
              </w:rPr>
              <w:t>技术规格、参数及要求</w:t>
            </w:r>
          </w:p>
          <w:tbl>
            <w:tblPr>
              <w:tblInd w:type="dxa" w:w="120"/>
              <w:tblBorders>
                <w:top w:val="none" w:color="000000" w:sz="4"/>
                <w:left w:val="none" w:color="000000" w:sz="4"/>
                <w:bottom w:val="none" w:color="000000" w:sz="4"/>
                <w:right w:val="none" w:color="000000" w:sz="4"/>
                <w:insideH w:val="none"/>
                <w:insideV w:val="none"/>
              </w:tblBorders>
            </w:tblPr>
            <w:tblGrid>
              <w:gridCol w:w="469"/>
              <w:gridCol w:w="1164"/>
              <w:gridCol w:w="2311"/>
              <w:gridCol w:w="749"/>
              <w:gridCol w:w="893"/>
            </w:tblGrid>
            <w:tr>
              <w:tc>
                <w:tcPr>
                  <w:tcW w:type="dxa" w:w="469"/>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64"/>
                  <w:tcBorders>
                    <w:top w:val="single" w:color="000000" w:sz="4"/>
                    <w:left w:val="single" w:color="000000" w:sz="4"/>
                    <w:bottom w:val="single" w:color="000000" w:sz="4"/>
                    <w:right w:val="single" w:color="000000" w:sz="4"/>
                  </w:tcBorders>
                  <w:vAlign w:val="top"/>
                </w:tcPr>
                <w:p>
                  <w:pPr>
                    <w:jc w:val="center"/>
                  </w:pPr>
                  <w:r>
                    <w:rPr>
                      <w:b/>
                      <w:sz w:val="21"/>
                    </w:rPr>
                    <w:t>项目名称</w:t>
                  </w:r>
                </w:p>
              </w:tc>
              <w:tc>
                <w:tcPr>
                  <w:tcW w:type="dxa" w:w="2311"/>
                  <w:tcBorders>
                    <w:top w:val="single" w:color="000000" w:sz="4"/>
                    <w:left w:val="single" w:color="000000" w:sz="4"/>
                    <w:bottom w:val="single" w:color="000000" w:sz="4"/>
                    <w:right w:val="single" w:color="000000" w:sz="4"/>
                  </w:tcBorders>
                  <w:vAlign w:val="top"/>
                </w:tcPr>
                <w:p>
                  <w:pPr>
                    <w:jc w:val="center"/>
                  </w:pPr>
                  <w:r>
                    <w:rPr>
                      <w:b/>
                      <w:sz w:val="21"/>
                    </w:rPr>
                    <w:t>项目特征描述</w:t>
                  </w:r>
                </w:p>
              </w:tc>
              <w:tc>
                <w:tcPr>
                  <w:tcW w:type="dxa" w:w="749"/>
                  <w:tcBorders>
                    <w:top w:val="single" w:color="000000" w:sz="4"/>
                    <w:left w:val="single" w:color="000000" w:sz="4"/>
                    <w:bottom w:val="single" w:color="000000" w:sz="4"/>
                    <w:right w:val="single" w:color="000000" w:sz="4"/>
                  </w:tcBorders>
                  <w:vAlign w:val="top"/>
                </w:tcPr>
                <w:p>
                  <w:pPr>
                    <w:jc w:val="center"/>
                  </w:pPr>
                  <w:r>
                    <w:rPr>
                      <w:b/>
                      <w:sz w:val="21"/>
                    </w:rPr>
                    <w:t>计量单位</w:t>
                  </w:r>
                </w:p>
              </w:tc>
              <w:tc>
                <w:tcPr>
                  <w:tcW w:type="dxa" w:w="893"/>
                  <w:tcBorders>
                    <w:top w:val="single" w:color="000000" w:sz="4"/>
                    <w:left w:val="single" w:color="000000" w:sz="4"/>
                    <w:bottom w:val="single" w:color="000000" w:sz="4"/>
                    <w:right w:val="single" w:color="000000" w:sz="4"/>
                  </w:tcBorders>
                  <w:vAlign w:val="top"/>
                </w:tcPr>
                <w:p>
                  <w:pPr>
                    <w:jc w:val="center"/>
                  </w:pPr>
                  <w:r>
                    <w:rPr>
                      <w:b/>
                      <w:sz w:val="21"/>
                    </w:rPr>
                    <w:t>工程量</w:t>
                  </w: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64"/>
                  <w:tcBorders>
                    <w:top w:val="none" w:color="000000" w:sz="4"/>
                    <w:left w:val="single" w:color="000000" w:sz="4"/>
                    <w:bottom w:val="single" w:color="000000" w:sz="4"/>
                    <w:right w:val="single" w:color="000000" w:sz="4"/>
                  </w:tcBorders>
                  <w:vAlign w:val="top"/>
                </w:tcPr>
                <w:p>
                  <w:pPr>
                    <w:jc w:val="center"/>
                  </w:pPr>
                  <w:r>
                    <w:rPr>
                      <w:sz w:val="21"/>
                    </w:rPr>
                    <w:t>双臂路灯杆及灯具</w:t>
                  </w:r>
                </w:p>
              </w:tc>
              <w:tc>
                <w:tcPr>
                  <w:tcW w:type="dxa" w:w="2311"/>
                  <w:tcBorders>
                    <w:top w:val="none" w:color="000000" w:sz="4"/>
                    <w:left w:val="single" w:color="000000" w:sz="4"/>
                    <w:bottom w:val="single" w:color="000000" w:sz="4"/>
                    <w:right w:val="single" w:color="000000" w:sz="4"/>
                  </w:tcBorders>
                  <w:vAlign w:val="top"/>
                </w:tcPr>
                <w:p>
                  <w:pPr>
                    <w:jc w:val="left"/>
                  </w:pPr>
                  <w:r>
                    <w:rPr>
                      <w:sz w:val="21"/>
                    </w:rPr>
                    <w:t>2、灯杆:优质Q235钢板经模压成型；灯杆壁厚≥3mm,灯杆直径尺寸为底部150-顶60mm。</w:t>
                  </w:r>
                </w:p>
                <w:p>
                  <w:pPr>
                    <w:jc w:val="both"/>
                  </w:pPr>
                  <w:r>
                    <w:rPr>
                      <w:sz w:val="21"/>
                    </w:rPr>
                    <w:t>（2）灯具功率：≥85W；</w:t>
                  </w:r>
                </w:p>
                <w:p>
                  <w:pPr>
                    <w:jc w:val="both"/>
                  </w:pPr>
                  <w:r>
                    <w:rPr>
                      <w:sz w:val="21"/>
                    </w:rPr>
                    <w:t>（3）色温：≤6000K；</w:t>
                  </w:r>
                </w:p>
                <w:p>
                  <w:pPr>
                    <w:jc w:val="left"/>
                  </w:pPr>
                  <w:r>
                    <w:rPr>
                      <w:sz w:val="21"/>
                    </w:rPr>
                    <w:t>5</w:t>
                  </w:r>
                  <w:r>
                    <w:rPr>
                      <w:sz w:val="21"/>
                    </w:rPr>
                    <w:t>、电池组件</w:t>
                  </w:r>
                  <w:r>
                    <w:rPr>
                      <w:sz w:val="21"/>
                    </w:rPr>
                    <w:t>:磷酸铁锂蓄电池100AH× 2(3.2V系统+升压控制器)。</w:t>
                  </w:r>
                </w:p>
                <w:p>
                  <w:pPr>
                    <w:jc w:val="left"/>
                  </w:pPr>
                  <w:r>
                    <w:rPr>
                      <w:sz w:val="21"/>
                    </w:rPr>
                    <w:t>6</w:t>
                  </w:r>
                  <w:r>
                    <w:rPr>
                      <w:sz w:val="21"/>
                    </w:rPr>
                    <w:t>、</w:t>
                  </w:r>
                  <w:r>
                    <w:rPr>
                      <w:sz w:val="21"/>
                    </w:rPr>
                    <w:t>太阳能板：</w:t>
                  </w:r>
                  <w:r>
                    <w:rPr>
                      <w:sz w:val="21"/>
                    </w:rPr>
                    <w:t>多晶硅太阳能电池板</w:t>
                  </w:r>
                  <w:r>
                    <w:rPr>
                      <w:sz w:val="21"/>
                    </w:rPr>
                    <w:t>200W(100W×2,6V+升压控制器,两块串并联,顶两块)</w:t>
                  </w:r>
                  <w:r>
                    <w:rPr>
                      <w:sz w:val="21"/>
                    </w:rPr>
                    <w:t>，最大功率</w:t>
                  </w:r>
                  <w:r>
                    <w:rPr>
                      <w:sz w:val="21"/>
                    </w:rPr>
                    <w:t>≥100W。</w:t>
                  </w:r>
                </w:p>
                <w:p>
                  <w:pPr>
                    <w:jc w:val="both"/>
                  </w:pPr>
                  <w:r>
                    <w:rPr>
                      <w:sz w:val="21"/>
                    </w:rPr>
                    <w:t>9、灯具具有CQC产品认证证书。</w:t>
                  </w:r>
                </w:p>
              </w:tc>
              <w:tc>
                <w:tcPr>
                  <w:tcW w:type="dxa" w:w="74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893"/>
                  <w:tcBorders>
                    <w:top w:val="none" w:color="000000" w:sz="4"/>
                    <w:left w:val="single" w:color="000000" w:sz="4"/>
                    <w:bottom w:val="single" w:color="000000" w:sz="4"/>
                    <w:right w:val="single" w:color="000000" w:sz="4"/>
                  </w:tcBorders>
                  <w:vAlign w:val="top"/>
                </w:tcPr>
                <w:p>
                  <w:pPr>
                    <w:jc w:val="center"/>
                  </w:pPr>
                  <w:r>
                    <w:rPr>
                      <w:sz w:val="21"/>
                    </w:rPr>
                    <w:t>331</w:t>
                  </w: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64"/>
                  <w:tcBorders>
                    <w:top w:val="none" w:color="000000" w:sz="4"/>
                    <w:left w:val="single" w:color="000000" w:sz="4"/>
                    <w:bottom w:val="single" w:color="000000" w:sz="4"/>
                    <w:right w:val="single" w:color="000000" w:sz="4"/>
                  </w:tcBorders>
                  <w:vAlign w:val="top"/>
                </w:tcPr>
                <w:p>
                  <w:pPr>
                    <w:jc w:val="center"/>
                  </w:pPr>
                  <w:r>
                    <w:rPr>
                      <w:sz w:val="21"/>
                    </w:rPr>
                    <w:t>双臂路灯杆及灯具</w:t>
                  </w:r>
                </w:p>
              </w:tc>
              <w:tc>
                <w:tcPr>
                  <w:tcW w:type="dxa" w:w="2311"/>
                  <w:tcBorders>
                    <w:top w:val="none" w:color="000000" w:sz="4"/>
                    <w:left w:val="single" w:color="000000" w:sz="4"/>
                    <w:bottom w:val="single" w:color="000000" w:sz="4"/>
                    <w:right w:val="single" w:color="000000" w:sz="4"/>
                  </w:tcBorders>
                  <w:vAlign w:val="top"/>
                </w:tcPr>
                <w:p>
                  <w:pPr>
                    <w:jc w:val="left"/>
                  </w:pPr>
                  <w:r>
                    <w:rPr>
                      <w:sz w:val="21"/>
                    </w:rPr>
                    <w:t>2、灯杆:优质Q235钢板经模压成型,灯杆壁厚≥3mm,灯杆直径尺寸为底部150-顶60mm。</w:t>
                  </w:r>
                </w:p>
                <w:p>
                  <w:pPr>
                    <w:jc w:val="both"/>
                  </w:pPr>
                  <w:r>
                    <w:rPr>
                      <w:sz w:val="21"/>
                    </w:rPr>
                    <w:t>（</w:t>
                  </w:r>
                  <w:r>
                    <w:rPr>
                      <w:sz w:val="21"/>
                    </w:rPr>
                    <w:t>2）</w:t>
                  </w:r>
                  <w:r>
                    <w:rPr>
                      <w:sz w:val="21"/>
                    </w:rPr>
                    <w:t>灯具功率：</w:t>
                  </w:r>
                  <w:r>
                    <w:rPr>
                      <w:sz w:val="21"/>
                    </w:rPr>
                    <w:t>≥150W；</w:t>
                  </w:r>
                </w:p>
                <w:p>
                  <w:pPr>
                    <w:jc w:val="both"/>
                  </w:pPr>
                  <w:r>
                    <w:rPr>
                      <w:sz w:val="21"/>
                    </w:rPr>
                    <w:t>（3）色温：≤6000K；</w:t>
                  </w:r>
                </w:p>
                <w:p>
                  <w:pPr>
                    <w:jc w:val="left"/>
                  </w:pPr>
                  <w:r>
                    <w:rPr>
                      <w:sz w:val="21"/>
                    </w:rPr>
                    <w:t>5</w:t>
                  </w:r>
                  <w:r>
                    <w:rPr>
                      <w:sz w:val="21"/>
                    </w:rPr>
                    <w:t>、电池组件</w:t>
                  </w:r>
                  <w:r>
                    <w:rPr>
                      <w:sz w:val="21"/>
                    </w:rPr>
                    <w:t>:磷酸铁锂蓄电池120AH× 2(3.2V系统+升压控制器)。</w:t>
                  </w:r>
                </w:p>
                <w:p>
                  <w:pPr>
                    <w:jc w:val="left"/>
                  </w:pPr>
                  <w:r>
                    <w:rPr>
                      <w:sz w:val="21"/>
                    </w:rPr>
                    <w:t>6</w:t>
                  </w:r>
                  <w:r>
                    <w:rPr>
                      <w:sz w:val="21"/>
                    </w:rPr>
                    <w:t>、</w:t>
                  </w:r>
                  <w:r>
                    <w:rPr>
                      <w:sz w:val="21"/>
                    </w:rPr>
                    <w:t>太阳能板：</w:t>
                  </w:r>
                  <w:r>
                    <w:rPr>
                      <w:sz w:val="21"/>
                    </w:rPr>
                    <w:t>多晶硅太阳能电池板</w:t>
                  </w:r>
                  <w:r>
                    <w:rPr>
                      <w:sz w:val="21"/>
                    </w:rPr>
                    <w:t>240W(120W×2,6V+ 升压控制器,两块串并联,顶两块)</w:t>
                  </w:r>
                  <w:r>
                    <w:rPr>
                      <w:sz w:val="21"/>
                    </w:rPr>
                    <w:t>，最大功率</w:t>
                  </w:r>
                  <w:r>
                    <w:rPr>
                      <w:sz w:val="21"/>
                    </w:rPr>
                    <w:t>≥120W。</w:t>
                  </w:r>
                </w:p>
                <w:p>
                  <w:pPr>
                    <w:jc w:val="both"/>
                  </w:pPr>
                  <w:r>
                    <w:rPr>
                      <w:sz w:val="21"/>
                    </w:rPr>
                    <w:t>9、灯具具有CQC产品认证证书。</w:t>
                  </w:r>
                </w:p>
              </w:tc>
              <w:tc>
                <w:tcPr>
                  <w:tcW w:type="dxa" w:w="74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893"/>
                  <w:tcBorders>
                    <w:top w:val="none" w:color="000000" w:sz="4"/>
                    <w:left w:val="single" w:color="000000" w:sz="4"/>
                    <w:bottom w:val="single" w:color="000000" w:sz="4"/>
                    <w:right w:val="single" w:color="000000" w:sz="4"/>
                  </w:tcBorders>
                  <w:vAlign w:val="top"/>
                </w:tcPr>
                <w:p>
                  <w:pPr>
                    <w:jc w:val="center"/>
                  </w:pPr>
                  <w:r>
                    <w:rPr>
                      <w:sz w:val="21"/>
                    </w:rPr>
                    <w:t>60</w:t>
                  </w:r>
                </w:p>
              </w:tc>
            </w:tr>
          </w:tbl>
        </w:tc>
      </w:tr>
      <w:tr>
        <w:tc>
          <w:tcPr>
            <w:tcW w:type="dxa" w:w="2076"/>
          </w:tcPr>
          <w:p>
            <w:r>
              <w:rPr/>
              <w:t>★</w:t>
            </w:r>
          </w:p>
        </w:tc>
        <w:tc>
          <w:tcPr>
            <w:tcW w:type="dxa" w:w="415"/>
          </w:tcPr>
          <w:p>
            <w:r>
              <w:rPr/>
              <w:t>3</w:t>
            </w:r>
          </w:p>
        </w:tc>
        <w:tc>
          <w:tcPr>
            <w:tcW w:type="dxa" w:w="5814"/>
          </w:tcPr>
          <w:p>
            <w:pPr>
              <w:jc w:val="left"/>
            </w:pPr>
            <w:r>
              <w:rPr>
                <w:b/>
                <w:color w:val="000000"/>
                <w:sz w:val="21"/>
              </w:rPr>
              <w:t>二、货物的一般要求</w:t>
            </w:r>
          </w:p>
          <w:p>
            <w:pPr>
              <w:jc w:val="left"/>
            </w:pPr>
          </w:p>
          <w:p>
            <w:pPr>
              <w:jc w:val="left"/>
            </w:pPr>
            <w:r>
              <w:rPr>
                <w:color w:val="000000"/>
                <w:sz w:val="21"/>
              </w:rPr>
              <w:t>1、</w:t>
            </w:r>
            <w:r>
              <w:rPr>
                <w:color w:val="000000"/>
                <w:sz w:val="21"/>
              </w:rPr>
              <w:t>所有产品均应符合《中华人民共和国政府采购法》的有关规定，产品来源渠道合法。</w:t>
            </w:r>
          </w:p>
          <w:p>
            <w:pPr>
              <w:jc w:val="left"/>
            </w:pPr>
            <w:r>
              <w:rPr>
                <w:color w:val="000000"/>
                <w:sz w:val="21"/>
              </w:rPr>
              <w:t>2、</w:t>
            </w:r>
            <w:r>
              <w:rPr>
                <w:color w:val="000000"/>
                <w:sz w:val="21"/>
              </w:rPr>
              <w:t>所供产品为中国境内合法制造且符合国家质量技术监测标准和节能环保技术标准，货物必须是全新的（包括所有辅件、专用工具等），表面无刮伤、无碰撞、无污染、无侵权行为、无任何缺陷隐患，具有相关技术资料文件在中国境内可依常规安全合法使用，满足本项目采购需求要求的合格产品。</w:t>
            </w:r>
          </w:p>
          <w:p>
            <w:pPr>
              <w:jc w:val="left"/>
            </w:pPr>
            <w:r>
              <w:rPr>
                <w:color w:val="000000"/>
                <w:sz w:val="21"/>
              </w:rPr>
              <w:t>3、</w:t>
            </w:r>
            <w:r>
              <w:rPr>
                <w:color w:val="000000"/>
                <w:sz w:val="21"/>
              </w:rPr>
              <w:t>所有货物需充分考虑安全性、稳固性和优良的质量。</w:t>
            </w:r>
          </w:p>
          <w:p>
            <w:pPr>
              <w:jc w:val="left"/>
            </w:pPr>
            <w:r>
              <w:rPr>
                <w:color w:val="000000"/>
                <w:sz w:val="21"/>
              </w:rPr>
              <w:t>4、</w:t>
            </w:r>
            <w:r>
              <w:rPr>
                <w:color w:val="000000"/>
                <w:sz w:val="21"/>
              </w:rPr>
              <w:t>对于影响货物正常工作的必要组成部分，无论在技术规范中指出与否，供应商都应提供并在报价文件中明确列出。</w:t>
            </w:r>
          </w:p>
          <w:p>
            <w:pPr>
              <w:jc w:val="left"/>
            </w:pPr>
            <w:r>
              <w:rPr>
                <w:color w:val="000000"/>
                <w:sz w:val="21"/>
              </w:rPr>
              <w:t>5、</w:t>
            </w:r>
            <w:r>
              <w:rPr>
                <w:color w:val="000000"/>
                <w:sz w:val="21"/>
              </w:rPr>
              <w:t>质量指标达到相应的国家标准、行业标准及供应商（或厂家）确定遵照的有关标准及技术规格参数要求，符合国家有关技术规定及本项目用户需求，具备相关合格证书和相关证明文件。</w:t>
            </w:r>
          </w:p>
          <w:p>
            <w:pPr>
              <w:jc w:val="left"/>
            </w:pPr>
            <w:r>
              <w:rPr>
                <w:color w:val="000000"/>
                <w:sz w:val="21"/>
              </w:rPr>
              <w:t>6、</w:t>
            </w:r>
            <w:r>
              <w:rPr>
                <w:color w:val="000000"/>
                <w:sz w:val="21"/>
              </w:rPr>
              <w:t>供应商应保证，采购人在使用该货物或货物的任何一部分时，免受第三方提出的侵犯其专利权、商标权、工业设计权、侵犯所有权和工业产权、著作（版权）等知识产权的起诉。</w:t>
            </w:r>
          </w:p>
          <w:p>
            <w:pPr>
              <w:jc w:val="both"/>
            </w:pPr>
            <w:r>
              <w:rPr>
                <w:color w:val="000000"/>
                <w:sz w:val="21"/>
              </w:rPr>
              <w:t>7、</w:t>
            </w:r>
            <w:r>
              <w:rPr>
                <w:color w:val="000000"/>
                <w:sz w:val="21"/>
              </w:rPr>
              <w:t>成交人在生产、安装、搬运过程必须接受采购人的监督和安排。如采购人发现成交人不按承诺生产或产品存在质量问题，有权暂停或终止合同。</w:t>
            </w:r>
          </w:p>
          <w:p>
            <w:pPr>
              <w:jc w:val="both"/>
            </w:pPr>
          </w:p>
        </w:tc>
      </w:tr>
      <w:tr>
        <w:tc>
          <w:tcPr>
            <w:tcW w:type="dxa" w:w="2076"/>
          </w:tcPr>
          <w:p>
            <w:r>
              <w:rPr/>
              <w:t>★</w:t>
            </w:r>
          </w:p>
        </w:tc>
        <w:tc>
          <w:tcPr>
            <w:tcW w:type="dxa" w:w="415"/>
          </w:tcPr>
          <w:p>
            <w:r>
              <w:rPr/>
              <w:t>4</w:t>
            </w:r>
          </w:p>
        </w:tc>
        <w:tc>
          <w:tcPr>
            <w:tcW w:type="dxa" w:w="5814"/>
          </w:tcPr>
          <w:p>
            <w:r>
              <w:rPr>
                <w:b/>
                <w:color w:val="000000"/>
                <w:sz w:val="24"/>
              </w:rPr>
              <w:t>三、</w:t>
            </w:r>
            <w:r>
              <w:rPr>
                <w:b/>
                <w:color w:val="000000"/>
                <w:sz w:val="21"/>
              </w:rPr>
              <w:t>项目实施要求</w:t>
            </w:r>
          </w:p>
          <w:p>
            <w:r>
              <w:rPr>
                <w:color w:val="000000"/>
                <w:sz w:val="21"/>
              </w:rPr>
              <w:t>1、</w:t>
            </w:r>
            <w:r>
              <w:rPr>
                <w:color w:val="000000"/>
                <w:sz w:val="21"/>
              </w:rPr>
              <w:t>成交人需为本项目成立专门工作组，包含足够数量，分别拥有丰富的安装、实施、测试、运行经验的各种技术人员，协同负责本项目各执行阶段的整体工作。</w:t>
            </w:r>
          </w:p>
          <w:p>
            <w:r>
              <w:rPr>
                <w:color w:val="000000"/>
                <w:sz w:val="21"/>
              </w:rPr>
              <w:t>4、</w:t>
            </w:r>
            <w:r>
              <w:rPr>
                <w:color w:val="000000"/>
                <w:sz w:val="21"/>
              </w:rPr>
              <w:t>成交人须提供安装、调试的技术及有关设备，设备在安装期与使用期内，任何因设备设计、设备制造、安装工程等缺陷而发生的设备维修或更换，成交人应免费提供并负责完善工作。</w:t>
            </w:r>
          </w:p>
        </w:tc>
      </w:tr>
      <w:tr>
        <w:tc>
          <w:tcPr>
            <w:tcW w:type="dxa" w:w="2076"/>
          </w:tcPr>
          <w:p/>
        </w:tc>
        <w:tc>
          <w:tcPr>
            <w:tcW w:type="dxa" w:w="415"/>
          </w:tcPr>
          <w:p>
            <w:r>
              <w:rPr/>
              <w:t>5</w:t>
            </w:r>
          </w:p>
        </w:tc>
        <w:tc>
          <w:tcPr>
            <w:tcW w:type="dxa" w:w="5814"/>
          </w:tcPr>
          <w:p>
            <w:r>
              <w:rPr>
                <w:b/>
                <w:color w:val="000000"/>
                <w:sz w:val="24"/>
              </w:rPr>
              <w:t>三、</w:t>
            </w:r>
            <w:r>
              <w:rPr>
                <w:b/>
                <w:color w:val="000000"/>
                <w:sz w:val="21"/>
              </w:rPr>
              <w:t>项目实施要求</w:t>
            </w:r>
          </w:p>
          <w:p>
            <w:r>
              <w:rPr>
                <w:color w:val="000000"/>
                <w:sz w:val="21"/>
              </w:rPr>
              <w:t>2、</w:t>
            </w:r>
            <w:r>
              <w:rPr>
                <w:color w:val="000000"/>
                <w:sz w:val="21"/>
              </w:rPr>
              <w:t>项目进入现场安装调试阶段后，成交人应在</w:t>
            </w:r>
            <w:r>
              <w:rPr>
                <w:color w:val="000000"/>
                <w:sz w:val="21"/>
              </w:rPr>
              <w:t>采购人</w:t>
            </w:r>
            <w:r>
              <w:rPr>
                <w:color w:val="000000"/>
                <w:sz w:val="21"/>
              </w:rPr>
              <w:t>的统一安排和指挥下，严格遵守相关操作规范和制度，确保本项目工作顺利进行。期间采购人有权派出自己的技术人员参加此项工作。</w:t>
            </w:r>
          </w:p>
          <w:p>
            <w:r>
              <w:rPr>
                <w:color w:val="000000"/>
                <w:sz w:val="21"/>
              </w:rPr>
              <w:t>3、项目完成现场安装调试工作后，用户方将组织测试和验收。报价人应积极配合</w:t>
            </w:r>
            <w:r>
              <w:rPr>
                <w:color w:val="000000"/>
                <w:sz w:val="21"/>
              </w:rPr>
              <w:t>采购人</w:t>
            </w:r>
            <w:r>
              <w:rPr>
                <w:color w:val="000000"/>
                <w:sz w:val="21"/>
              </w:rPr>
              <w:t>测试单位完成上述工作，以确保设备具备运行条件。</w:t>
            </w:r>
          </w:p>
          <w:p>
            <w:r>
              <w:rPr>
                <w:color w:val="000000"/>
                <w:sz w:val="21"/>
              </w:rPr>
              <w:t>5、采购人需改进所供设备的执行情况和可靠性时，成交人应免费提供软件与硬件的支持。</w:t>
            </w:r>
          </w:p>
          <w:p>
            <w:pPr>
              <w:jc w:val="both"/>
            </w:pPr>
            <w:r>
              <w:rPr>
                <w:sz w:val="21"/>
              </w:rPr>
              <w:t>6</w:t>
            </w:r>
            <w:r>
              <w:rPr>
                <w:sz w:val="21"/>
              </w:rPr>
              <w:t>、</w:t>
            </w:r>
            <w:r>
              <w:rPr>
                <w:sz w:val="21"/>
              </w:rPr>
              <w:t>采购人在预案修订（完善）、宣传、培训、演练等过程中提出相关改进建议时，成交人应免费修改和完善，对项目过程中出现的漏洞，成交人应免费进行改进和完善。</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1.采购代理机构：本项目是指云浮市宏诺招标代理有限公司，负责整个采购活动的组织，依法负责编制和发布磋商文件，对磋商文件拥有最终的解释权，不以任何身份出任磋商小组成员。</w:t>
      </w:r>
    </w:p>
    <w:p>
      <w:pPr>
        <w:ind w:firstLine="480"/>
      </w:pPr>
      <w:r>
        <w:rPr/>
        <w:t>2.采购人：本项目是指</w:t>
      </w:r>
      <w:r>
        <w:rPr/>
        <w:t>新兴县天堂镇人民政府</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采购机构代理服务收费标准：按中华人民共和国国家发展计划委员会颁发的计价格[2002]1980号、国家发改委[2003]857号及发改价格[2011]534号文执行。</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2</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云浮市宏诺招标代理有限公司</w:t>
      </w:r>
      <w:r>
        <w:rPr/>
        <w:t>代收。具体操作要求详见</w:t>
      </w:r>
      <w:r>
        <w:rPr/>
        <w:t>云浮市宏诺招标代理有限公司</w:t>
      </w:r>
      <w:r>
        <w:rPr/>
        <w:t>有关指引，递交事宜请自行咨询</w:t>
      </w:r>
      <w:r>
        <w:rPr/>
        <w:t>云浮市宏诺招标代理有限公司</w:t>
      </w:r>
      <w:r>
        <w:rPr/>
        <w:t>；请各供应商在响应文件递交截止时间前按须知前附表规定的金额递交至</w:t>
      </w:r>
      <w:r>
        <w:rPr/>
        <w:t>云浮市宏诺招标代理有限公司</w:t>
      </w:r>
      <w:r>
        <w:rPr/>
        <w:t>，到账情况以开启时</w:t>
      </w:r>
      <w:r>
        <w:rPr/>
        <w:t>云浮市宏诺招标代理有限公司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邝小姐</w:t>
      </w:r>
    </w:p>
    <w:p>
      <w:pPr>
        <w:ind w:firstLine="480"/>
      </w:pPr>
      <w:r>
        <w:rPr/>
        <w:t>电话：</w:t>
      </w:r>
      <w:r>
        <w:rPr/>
        <w:t>0766-2388819</w:t>
      </w:r>
    </w:p>
    <w:p>
      <w:pPr>
        <w:ind w:firstLine="480"/>
      </w:pPr>
      <w:r>
        <w:rPr/>
        <w:t>传真：</w:t>
      </w:r>
      <w:r>
        <w:rPr/>
        <w:t>0766-2388819</w:t>
      </w:r>
    </w:p>
    <w:p>
      <w:pPr>
        <w:ind w:firstLine="480"/>
      </w:pPr>
      <w:r>
        <w:rPr/>
        <w:t>邮箱：</w:t>
      </w:r>
      <w:r>
        <w:rPr/>
        <w:t>yfhongnuo@163.com</w:t>
      </w:r>
    </w:p>
    <w:p>
      <w:pPr>
        <w:ind w:firstLine="480"/>
      </w:pPr>
      <w:r>
        <w:rPr/>
        <w:t>地址：</w:t>
      </w:r>
      <w:r>
        <w:rPr/>
        <w:t>广东省云浮市新兴县新城镇城西路2号裕景楼3B号房</w:t>
      </w:r>
    </w:p>
    <w:p>
      <w:pPr>
        <w:ind w:firstLine="480"/>
      </w:pPr>
      <w:r>
        <w:rPr/>
        <w:t>邮编：</w:t>
      </w:r>
      <w:r>
        <w:rPr/>
        <w:t>527400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政府采购监督管理机构名称：云浮市新兴县财政局政府采购管理股</w:t>
      </w:r>
    </w:p>
    <w:p>
      <w:r>
        <w:rPr/>
        <w:t>地  址：云浮市新兴县新城镇较场路33号6楼</w:t>
      </w:r>
    </w:p>
    <w:p>
      <w:r>
        <w:rPr/>
        <w:t>电  话：0766-2882607</w:t>
      </w:r>
    </w:p>
    <w:p>
      <w:r>
        <w:rPr/>
        <w:t>邮  编：527400</w:t>
      </w:r>
    </w:p>
    <w:p>
      <w:r>
        <w:rPr/>
        <w:t>传  真：0766-2882607</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天堂镇G359国道（天堂段）太阳能路灯及配套设施采购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云浮市宏诺招标代理有限公司</w:t>
      </w:r>
      <w:r>
        <w:rPr/>
        <w:t>统一对外发布。</w:t>
      </w:r>
    </w:p>
    <w:p>
      <w:pPr>
        <w:ind w:firstLine="480"/>
      </w:pPr>
      <w:r>
        <w:rPr/>
        <w:t>（2）对</w:t>
      </w:r>
      <w:r>
        <w:rPr/>
        <w:t>云浮市宏诺招标代理有限公司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采购包1（天堂镇G359国道（天堂段）太阳能路灯及配套设施采购项目）：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采购包1（天堂镇G359国道（天堂段）太阳能路灯及配套设施采购项目）：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提供投标截止日前12个月内任意1个月依法缴纳税收和社会保障资金的相关材料。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供应商必须具有良好的商业信誉和健全的财务会计制度（提供2021年度财务状况报告或2022年任意一个月的财务报表或基本开户行出具的资信证明）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本采购包专门面向中小企业采购（提供中小企业声明函或监狱企业声明函或残疾人福利性单位声明函。根据《财政部 司法部关于政府采购支持监狱企业发展有关问题的通知》(财库〔2014〕68号)及《财政部民政部中国残疾人联合会关于促进残疾人就业政府采购政策的通知》（财库〔2017〕141号），监狱企业及残疾人福利性单位视同小型、微型企业）。</w:t>
            </w:r>
          </w:p>
        </w:tc>
      </w:tr>
    </w:tbl>
    <w:p/>
    <w:p>
      <w:pPr>
        <w:ind w:firstLine="480"/>
      </w:pPr>
      <w:r>
        <w:rPr/>
        <w:t>表二符合性审查表：</w:t>
      </w:r>
    </w:p>
    <w:p>
      <w:pPr>
        <w:ind w:firstLine="480"/>
      </w:pPr>
    </w:p>
    <w:p/>
    <w:p>
      <w:r>
        <w:rPr/>
        <w:t>采购包1（天堂镇G359国道（天堂段）太阳能路灯及配套设施采购项目）：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响应文件是否完整且按磋商文件规定要求签署、盖章</w:t>
            </w:r>
          </w:p>
        </w:tc>
        <w:tc>
          <w:tcPr>
            <w:tcW w:type="dxa" w:w="4238"/>
          </w:tcPr>
          <w:p>
            <w:r>
              <w:rPr/>
              <w:t>响应文件是否完整且按磋商文件规定要求签署、盖章。</w:t>
            </w:r>
          </w:p>
        </w:tc>
      </w:tr>
      <w:tr>
        <w:tc>
          <w:tcPr>
            <w:tcW w:type="dxa" w:w="890"/>
          </w:tcPr>
          <w:p>
            <w:r>
              <w:rPr/>
              <w:t>2</w:t>
            </w:r>
          </w:p>
        </w:tc>
        <w:tc>
          <w:tcPr>
            <w:tcW w:type="dxa" w:w="3178"/>
          </w:tcPr>
          <w:p>
            <w:r>
              <w:rPr/>
              <w:t>磋商有效期</w:t>
            </w:r>
          </w:p>
        </w:tc>
        <w:tc>
          <w:tcPr>
            <w:tcW w:type="dxa" w:w="4238"/>
          </w:tcPr>
          <w:p>
            <w:r>
              <w:rPr/>
              <w:t>响应有效期满足磋商文件要求（不少于90天）。</w:t>
            </w:r>
          </w:p>
        </w:tc>
      </w:tr>
      <w:tr>
        <w:tc>
          <w:tcPr>
            <w:tcW w:type="dxa" w:w="890"/>
          </w:tcPr>
          <w:p>
            <w:r>
              <w:rPr/>
              <w:t>3</w:t>
            </w:r>
          </w:p>
        </w:tc>
        <w:tc>
          <w:tcPr>
            <w:tcW w:type="dxa" w:w="3178"/>
          </w:tcPr>
          <w:p>
            <w:r>
              <w:rPr/>
              <w:t>★号条款响应情况</w:t>
            </w:r>
          </w:p>
        </w:tc>
        <w:tc>
          <w:tcPr>
            <w:tcW w:type="dxa" w:w="4238"/>
          </w:tcPr>
          <w:p>
            <w:r>
              <w:rPr/>
              <w:t>响应文件完全满足磋商文件的实质性条款（即标注★号条款）无负偏离或无响应的。</w:t>
            </w:r>
          </w:p>
        </w:tc>
      </w:tr>
      <w:tr>
        <w:tc>
          <w:tcPr>
            <w:tcW w:type="dxa" w:w="890"/>
          </w:tcPr>
          <w:p>
            <w:r>
              <w:rPr/>
              <w:t>4</w:t>
            </w:r>
          </w:p>
        </w:tc>
        <w:tc>
          <w:tcPr>
            <w:tcW w:type="dxa" w:w="3178"/>
          </w:tcPr>
          <w:p>
            <w:r>
              <w:rPr/>
              <w:t>响应报价未超过本项目最高限价</w:t>
            </w:r>
          </w:p>
        </w:tc>
        <w:tc>
          <w:tcPr>
            <w:tcW w:type="dxa" w:w="4238"/>
          </w:tcPr>
          <w:p>
            <w:r>
              <w:rPr/>
              <w:t>响应报价未超过本项目最高限价。</w:t>
            </w:r>
          </w:p>
        </w:tc>
      </w:tr>
      <w:tr>
        <w:tc>
          <w:tcPr>
            <w:tcW w:type="dxa" w:w="890"/>
          </w:tcPr>
          <w:p>
            <w:r>
              <w:rPr/>
              <w:t>5</w:t>
            </w:r>
          </w:p>
        </w:tc>
        <w:tc>
          <w:tcPr>
            <w:tcW w:type="dxa" w:w="3178"/>
          </w:tcPr>
          <w:p>
            <w:r>
              <w:rPr/>
              <w:t>响应文件未出现选择性报价或有附加条件报价的情形</w:t>
            </w:r>
          </w:p>
        </w:tc>
        <w:tc>
          <w:tcPr>
            <w:tcW w:type="dxa" w:w="4238"/>
          </w:tcPr>
          <w:p>
            <w:r>
              <w:rPr/>
              <w:t>响应文件未出现选择性报价或有附加条件报价的情形。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采购包1天堂镇G359国道（天堂段）太阳能路灯及配套设施采购项目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用户需求响应程度 (27.0分)</w:t>
            </w:r>
          </w:p>
        </w:tc>
        <w:tc>
          <w:tcPr>
            <w:tcW w:type="dxa" w:w="5076"/>
          </w:tcPr>
          <w:p>
            <w:pPr>
              <w:jc w:val="left"/>
            </w:pPr>
            <w:r>
              <w:rPr/>
              <w:t>对于需求书中“▲”的技术参数，全部满足得24分，不响应或不完全响应或负偏离的，每一项扣2分，扣完为止。 【备注：报价人须提供所投产品经第三方机构检验（检测）报告复印件并加盖公章，否则评标委员会有权视相应技术参数响应不符合磋商要求。】  非“▲”的技术参数，全部满足得3分，不响应或响应不完全或负偏离的，每一项扣1分，扣完为止。（提供《技术和服务要求响应表》）  【备注：对于一般技术参数，以报价人响应情况为准，所有报价人必须明确逐项列出并响应，否则视为负偏离进行扣分。】</w:t>
            </w:r>
          </w:p>
        </w:tc>
      </w:tr>
      <w:tr>
        <w:tc>
          <w:tcPr>
            <w:tcW w:type="dxa" w:w="922"/>
            <w:gridSpan w:val="2"/>
            <w:vMerge/>
          </w:tcPr>
          <w:p/>
        </w:tc>
        <w:tc>
          <w:tcPr>
            <w:tcW w:type="dxa" w:w="2307"/>
          </w:tcPr>
          <w:p>
            <w:pPr>
              <w:jc w:val="left"/>
            </w:pPr>
            <w:r>
              <w:rPr/>
              <w:t>技术、服务及供货方案 (8.0分)</w:t>
            </w:r>
          </w:p>
        </w:tc>
        <w:tc>
          <w:tcPr>
            <w:tcW w:type="dxa" w:w="5076"/>
          </w:tcPr>
          <w:p>
            <w:pPr>
              <w:jc w:val="left"/>
            </w:pPr>
            <w:r>
              <w:rPr/>
              <w:t>根据各供应商提供的技术、服务及供货方案的合理性、可行性进行评价： 1、技术、服务及供货方案非常合理可行，得8分； 2、技术、服务及供货方案基本合理可行，得5分； 3、技术、服务及供货方案简单片面，得2分；   4、不提供方案不得分。</w:t>
            </w:r>
          </w:p>
        </w:tc>
      </w:tr>
      <w:tr>
        <w:tc>
          <w:tcPr>
            <w:tcW w:type="dxa" w:w="922"/>
            <w:gridSpan w:val="2"/>
            <w:vMerge/>
          </w:tcPr>
          <w:p/>
        </w:tc>
        <w:tc>
          <w:tcPr>
            <w:tcW w:type="dxa" w:w="2307"/>
          </w:tcPr>
          <w:p>
            <w:pPr>
              <w:jc w:val="left"/>
            </w:pPr>
            <w:r>
              <w:rPr/>
              <w:t>质量保障措施 (5.0分)</w:t>
            </w:r>
          </w:p>
        </w:tc>
        <w:tc>
          <w:tcPr>
            <w:tcW w:type="dxa" w:w="5076"/>
          </w:tcPr>
          <w:p>
            <w:pPr>
              <w:jc w:val="left"/>
            </w:pPr>
            <w:r>
              <w:rPr/>
              <w:t>根据各供应商对该项目实施的质量保障措施方案进行评价：   1、质量保证措施描述详尽合理，具有较强的可操作性，得5分；  2、质量保证措施一般，描述一般，基本可操作，得3分；  3、质量保证措施较差，可操作性差，得1分；  4、不提供方案不得分。</w:t>
            </w:r>
          </w:p>
        </w:tc>
      </w:tr>
      <w:tr>
        <w:tc>
          <w:tcPr>
            <w:tcW w:type="dxa" w:w="922"/>
            <w:gridSpan w:val="2"/>
            <w:vMerge/>
          </w:tcPr>
          <w:p/>
        </w:tc>
        <w:tc>
          <w:tcPr>
            <w:tcW w:type="dxa" w:w="2307"/>
          </w:tcPr>
          <w:p>
            <w:pPr>
              <w:jc w:val="left"/>
            </w:pPr>
            <w:r>
              <w:rPr/>
              <w:t>售后服务方案 (5.0分)</w:t>
            </w:r>
          </w:p>
        </w:tc>
        <w:tc>
          <w:tcPr>
            <w:tcW w:type="dxa" w:w="5076"/>
          </w:tcPr>
          <w:p>
            <w:pPr>
              <w:jc w:val="left"/>
            </w:pPr>
            <w:r>
              <w:rPr/>
              <w:t>根据本项目采购需求，对各供应商售后服务体系（售后服务响应时间、培训方案及售后服务人员配备等）进行评价： 1、售后服务方案内容详细有针对性得5分；  2、售后服务方案内容基本满足采购文件要求得3分； 3、售后服务方案内容简单、片面得1分；  4、不提供方案不得分。</w:t>
            </w:r>
          </w:p>
        </w:tc>
      </w:tr>
      <w:tr>
        <w:tc>
          <w:tcPr>
            <w:tcW w:type="dxa" w:w="922"/>
            <w:gridSpan w:val="2"/>
            <w:vMerge w:val="restart"/>
          </w:tcPr>
          <w:p>
            <w:pPr>
              <w:jc w:val="center"/>
            </w:pPr>
            <w:r>
              <w:rPr/>
              <w:t>商务部分</w:t>
            </w:r>
          </w:p>
        </w:tc>
        <w:tc>
          <w:tcPr>
            <w:tcW w:type="dxa" w:w="2307"/>
          </w:tcPr>
          <w:p>
            <w:pPr>
              <w:jc w:val="left"/>
            </w:pPr>
            <w:r>
              <w:rPr/>
              <w:t>项目相关业绩 (8.0分)</w:t>
            </w:r>
          </w:p>
        </w:tc>
        <w:tc>
          <w:tcPr>
            <w:tcW w:type="dxa" w:w="5076"/>
          </w:tcPr>
          <w:p>
            <w:pPr>
              <w:jc w:val="left"/>
            </w:pPr>
            <w:r>
              <w:rPr/>
              <w:t>响应供应商自自2020年以来（以合同签订时间为准），独立承接过同类型项目业绩的，每提供一个得2分，本项最高得8分。 【注：提供合同关键页复印件并加盖供应商公章，以合同签订时间为准，无签订时间或无法辨识时间的不得分，不提供不得分。】</w:t>
            </w:r>
          </w:p>
        </w:tc>
      </w:tr>
      <w:tr>
        <w:tc>
          <w:tcPr>
            <w:tcW w:type="dxa" w:w="922"/>
            <w:gridSpan w:val="2"/>
            <w:vMerge/>
          </w:tcPr>
          <w:p/>
        </w:tc>
        <w:tc>
          <w:tcPr>
            <w:tcW w:type="dxa" w:w="2307"/>
          </w:tcPr>
          <w:p>
            <w:pPr>
              <w:jc w:val="left"/>
            </w:pPr>
            <w:r>
              <w:rPr/>
              <w:t>拟投入人员实力 (17.0分)</w:t>
            </w:r>
          </w:p>
        </w:tc>
        <w:tc>
          <w:tcPr>
            <w:tcW w:type="dxa" w:w="5076"/>
          </w:tcPr>
          <w:p>
            <w:pPr>
              <w:jc w:val="left"/>
            </w:pPr>
            <w:r>
              <w:rPr/>
              <w:t>1、项目负责人：具备市政工程或机电工程相关职业资格的，得5分。  2、响应供应商为本项目同时配备安全员、施工员、质量员、材料员、维修电工、低压电工的，得12分，每缺一个扣2分，扣完为止。 【注：（1）各岗位人员不得相互兼职；（2）响应文件中须提供以上人员相关有效证书复印件，各项不提供相应证明材料的不计分。】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445321-2022-01781</w:t>
      </w:r>
    </w:p>
    <w:p>
      <w:pPr>
        <w:jc w:val="center"/>
      </w:pPr>
      <w:r>
        <w:rPr>
          <w:b/>
          <w:sz w:val="24"/>
        </w:rPr>
        <w:t>采购项目编号：</w:t>
      </w:r>
      <w:r>
        <w:rPr>
          <w:b/>
          <w:sz w:val="24"/>
        </w:rPr>
        <w:t>YFHN2022080</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云浮市宏诺招标代理有限公司</w:t>
      </w:r>
    </w:p>
    <w:p>
      <w:pPr>
        <w:ind w:firstLine="480"/>
      </w:pPr>
      <w:r>
        <w:rPr/>
        <w:t>你方组织的</w:t>
      </w:r>
      <w:r>
        <w:rPr>
          <w:u w:val="single"/>
        </w:rPr>
        <w:t>天堂镇G359国道（天堂段）太阳能路灯及配套设施采购项目</w:t>
      </w:r>
      <w:r>
        <w:rPr/>
        <w:t>项目的竞争性磋商[采购项目编号为：</w:t>
      </w:r>
      <w:r>
        <w:rPr>
          <w:u w:val="single"/>
        </w:rPr>
        <w:t>YFHN2022080</w:t>
      </w:r>
      <w:r>
        <w:rPr/>
        <w:t>]，我方愿参与响应。</w:t>
      </w:r>
    </w:p>
    <w:p>
      <w:pPr>
        <w:ind w:firstLine="480"/>
      </w:pPr>
      <w:r>
        <w:rPr/>
        <w:t>我方确认收到贵方提供的</w:t>
      </w:r>
      <w:r>
        <w:rPr>
          <w:u w:val="single"/>
        </w:rPr>
        <w:t>天堂镇G359国道（天堂段）太阳能路灯及配套设施采购项目</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云浮市宏诺招标代理有限公司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天堂镇G359国道（天堂段）太阳能路灯及配套设施采购项目</w:t>
      </w:r>
      <w:r>
        <w:rPr/>
        <w:t>项目采购[采购项目编号为</w:t>
      </w:r>
      <w:r>
        <w:rPr/>
        <w:t>YFHN2022080</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新兴县天堂镇人民政府</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云浮市宏诺招标代理有限公司</w:t>
      </w:r>
    </w:p>
    <w:p>
      <w:pPr>
        <w:ind w:firstLine="480"/>
      </w:pPr>
      <w:r>
        <w:rPr/>
        <w:t>我单位参加贵公司组织的</w:t>
      </w:r>
      <w:r>
        <w:rPr/>
        <w:t>天堂镇G359国道（天堂段）太阳能路灯及配套设施采购项目</w:t>
      </w:r>
      <w:r>
        <w:rPr/>
        <w:t>（采购项目编号：</w:t>
      </w:r>
      <w:r>
        <w:rPr/>
        <w:t>YFHN2022080</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云浮市宏诺招标代理有限公司</w:t>
      </w:r>
    </w:p>
    <w:p>
      <w:pPr>
        <w:ind w:firstLine="480"/>
      </w:pPr>
      <w:r>
        <w:rPr/>
        <w:t>我单位已登记并准备参与</w:t>
      </w:r>
      <w:r>
        <w:rPr/>
        <w:t>天堂镇G359国道（天堂段）太阳能路灯及配套设施采购项目</w:t>
      </w:r>
      <w:r>
        <w:rPr/>
        <w:t>项目（采购项目编号：</w:t>
      </w:r>
      <w:r>
        <w:rPr/>
        <w:t>YFHN2022080</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